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6334" w:leader="none"/>
        </w:tabs>
        <w:spacing w:lineRule="auto" w:line="276" w:before="120" w:after="0"/>
        <w:rPr>
          <w:rFonts w:ascii="Times New Roman" w:hAnsi="Times New Roman"/>
          <w:sz w:val="22"/>
          <w:szCs w:val="22"/>
        </w:rPr>
      </w:pPr>
      <w:r>
        <w:rPr>
          <w:rFonts w:cs="Calibri" w:ascii="Times New Roman" w:hAnsi="Times New Roman" w:cstheme="minorHAnsi"/>
          <w:sz w:val="22"/>
          <w:szCs w:val="22"/>
        </w:rPr>
        <w:t xml:space="preserve">Znak sprawy: </w:t>
      </w:r>
      <w:r>
        <w:rPr>
          <w:rFonts w:cs="Calibri" w:ascii="Times New Roman" w:hAnsi="Times New Roman"/>
          <w:sz w:val="22"/>
          <w:szCs w:val="22"/>
        </w:rPr>
        <w:t>ZOZ/ZP/</w:t>
      </w:r>
      <w:r>
        <w:rPr>
          <w:rFonts w:cs="Calibri" w:ascii="Times New Roman" w:hAnsi="Times New Roman"/>
          <w:sz w:val="22"/>
          <w:szCs w:val="22"/>
        </w:rPr>
        <w:t>10</w:t>
      </w:r>
      <w:r>
        <w:rPr>
          <w:rFonts w:cs="Calibri" w:ascii="Times New Roman" w:hAnsi="Times New Roman"/>
          <w:sz w:val="22"/>
          <w:szCs w:val="22"/>
        </w:rPr>
        <w:t>/10/202</w:t>
      </w:r>
      <w:r>
        <w:rPr>
          <w:rFonts w:cs="Calibri" w:ascii="Times New Roman" w:hAnsi="Times New Roman"/>
          <w:sz w:val="22"/>
          <w:szCs w:val="22"/>
        </w:rPr>
        <w:t>2</w:t>
      </w:r>
      <w:r>
        <w:rPr>
          <w:rFonts w:cs="Calibri" w:ascii="Times New Roman" w:hAnsi="Times New Roman"/>
          <w:sz w:val="22"/>
          <w:szCs w:val="22"/>
        </w:rPr>
        <w:tab/>
        <w:tab/>
        <w:t xml:space="preserve">        </w:t>
      </w:r>
      <w:r>
        <w:rPr>
          <w:rFonts w:cs="Calibri" w:ascii="Times New Roman" w:hAnsi="Times New Roman" w:cstheme="minorHAnsi"/>
          <w:sz w:val="22"/>
          <w:szCs w:val="22"/>
        </w:rPr>
        <w:t xml:space="preserve">Pińczów, dnia </w:t>
      </w:r>
      <w:r>
        <w:rPr>
          <w:rFonts w:cs="Calibri" w:ascii="Times New Roman" w:hAnsi="Times New Roman" w:cstheme="minorHAnsi"/>
          <w:sz w:val="22"/>
          <w:szCs w:val="22"/>
        </w:rPr>
        <w:t>08</w:t>
      </w:r>
      <w:r>
        <w:rPr>
          <w:rFonts w:cs="Calibri" w:ascii="Times New Roman" w:hAnsi="Times New Roman" w:cstheme="minorHAnsi"/>
          <w:sz w:val="22"/>
          <w:szCs w:val="22"/>
        </w:rPr>
        <w:t>.11.202</w:t>
      </w:r>
      <w:r>
        <w:rPr>
          <w:rFonts w:cs="Calibri" w:ascii="Times New Roman" w:hAnsi="Times New Roman" w:cstheme="minorHAnsi"/>
          <w:sz w:val="22"/>
          <w:szCs w:val="22"/>
        </w:rPr>
        <w:t>2</w:t>
      </w:r>
      <w:r>
        <w:rPr>
          <w:rFonts w:cs="Calibri" w:ascii="Times New Roman" w:hAnsi="Times New Roman" w:cstheme="minorHAnsi"/>
          <w:sz w:val="22"/>
          <w:szCs w:val="22"/>
        </w:rPr>
        <w:t xml:space="preserve"> r.</w:t>
      </w:r>
    </w:p>
    <w:p>
      <w:pPr>
        <w:pStyle w:val="Normal"/>
        <w:tabs>
          <w:tab w:val="clear" w:pos="720"/>
          <w:tab w:val="left" w:pos="6334" w:leader="none"/>
        </w:tabs>
        <w:spacing w:lineRule="auto" w:line="276" w:before="0" w:after="0"/>
        <w:rPr>
          <w:rFonts w:ascii="Times New Roman" w:hAnsi="Times New Roman"/>
        </w:rPr>
      </w:pPr>
      <w:r>
        <w:rPr>
          <w:rFonts w:cs="Calibri" w:ascii="Times New Roman" w:hAnsi="Times New Roman" w:cstheme="minorHAnsi"/>
          <w:b/>
          <w:sz w:val="22"/>
          <w:szCs w:val="22"/>
        </w:rPr>
        <w:t>Do wszystkich zainteresowanych,</w:t>
      </w:r>
    </w:p>
    <w:p>
      <w:pPr>
        <w:pStyle w:val="Normal"/>
        <w:tabs>
          <w:tab w:val="clear" w:pos="720"/>
          <w:tab w:val="left" w:pos="6334" w:leader="none"/>
        </w:tabs>
        <w:spacing w:lineRule="auto" w:line="276" w:before="0" w:after="240"/>
        <w:rPr>
          <w:rFonts w:cs="Calibri" w:cstheme="minorHAnsi"/>
          <w:b/>
          <w:b/>
        </w:rPr>
      </w:pPr>
      <w:r>
        <w:rPr>
          <w:rFonts w:cs="Calibri" w:ascii="Times New Roman" w:hAnsi="Times New Roman" w:cstheme="minorHAnsi"/>
          <w:b/>
          <w:sz w:val="22"/>
          <w:szCs w:val="22"/>
        </w:rPr>
        <w:t>którzy pobrali SWZ</w:t>
      </w:r>
    </w:p>
    <w:p>
      <w:pPr>
        <w:pStyle w:val="Normal"/>
        <w:tabs>
          <w:tab w:val="clear" w:pos="720"/>
          <w:tab w:val="left" w:pos="6334" w:leader="none"/>
        </w:tabs>
        <w:spacing w:lineRule="auto" w:line="276" w:before="0" w:after="0"/>
        <w:jc w:val="center"/>
        <w:rPr>
          <w:rFonts w:ascii="Times New Roman" w:hAnsi="Times New Roman"/>
          <w:sz w:val="22"/>
          <w:szCs w:val="22"/>
        </w:rPr>
      </w:pPr>
      <w:r>
        <w:rPr>
          <w:rFonts w:cs="Calibri" w:ascii="Times New Roman" w:hAnsi="Times New Roman" w:cstheme="minorHAnsi"/>
          <w:b/>
          <w:sz w:val="22"/>
          <w:szCs w:val="22"/>
        </w:rPr>
        <w:t>ODPOWIEDŹ NR 1</w:t>
      </w:r>
    </w:p>
    <w:p>
      <w:pPr>
        <w:pStyle w:val="Normal"/>
        <w:tabs>
          <w:tab w:val="clear" w:pos="720"/>
          <w:tab w:val="left" w:pos="6334" w:leader="none"/>
        </w:tabs>
        <w:spacing w:lineRule="auto" w:line="276" w:before="0" w:after="120"/>
        <w:jc w:val="center"/>
        <w:rPr>
          <w:rFonts w:cs="Calibri" w:cstheme="minorHAnsi"/>
          <w:b/>
          <w:b/>
        </w:rPr>
      </w:pPr>
      <w:r>
        <w:rPr>
          <w:rFonts w:cs="Calibri" w:ascii="Times New Roman" w:hAnsi="Times New Roman" w:cstheme="minorHAnsi"/>
          <w:b/>
          <w:sz w:val="22"/>
          <w:szCs w:val="22"/>
        </w:rPr>
        <w:t>NA WNIOSKI WYKONAWCÓW</w:t>
      </w:r>
    </w:p>
    <w:p>
      <w:pPr>
        <w:pStyle w:val="Normal"/>
        <w:spacing w:lineRule="auto" w:line="276" w:before="0" w:after="120"/>
        <w:jc w:val="both"/>
        <w:rPr>
          <w:rFonts w:ascii="Times New Roman" w:hAnsi="Times New Roman"/>
          <w:sz w:val="22"/>
          <w:szCs w:val="22"/>
        </w:rPr>
      </w:pPr>
      <w:r>
        <w:rPr>
          <w:rFonts w:cs="Calibri" w:ascii="Times New Roman" w:hAnsi="Times New Roman" w:cstheme="minorHAnsi"/>
          <w:b w:val="false"/>
          <w:bCs w:val="false"/>
          <w:sz w:val="22"/>
          <w:szCs w:val="22"/>
        </w:rPr>
        <w:t xml:space="preserve">Dotyczy: </w:t>
      </w:r>
      <w:r>
        <w:rPr>
          <w:rFonts w:cs="Times New Roman" w:ascii="Times New Roman" w:hAnsi="Times New Roman"/>
          <w:b w:val="false"/>
          <w:bCs w:val="false"/>
          <w:sz w:val="22"/>
          <w:szCs w:val="22"/>
        </w:rPr>
        <w:t xml:space="preserve">POSTĘPOWANIA O UDZIELENIE ZAMÓWIENIA PUBLICZNEGO PROWADZONEGO W TRYBIE </w:t>
      </w:r>
      <w:r>
        <w:rPr>
          <w:rFonts w:cs="Times New Roman" w:ascii="Times New Roman" w:hAnsi="Times New Roman"/>
          <w:b w:val="false"/>
          <w:bCs w:val="false"/>
          <w:sz w:val="22"/>
          <w:szCs w:val="22"/>
        </w:rPr>
        <w:t>NIEOGRANICZONYM</w:t>
      </w:r>
      <w:r>
        <w:rPr>
          <w:rFonts w:cs="Times New Roman" w:ascii="Times New Roman" w:hAnsi="Times New Roman"/>
          <w:b w:val="false"/>
          <w:bCs w:val="false"/>
          <w:sz w:val="22"/>
          <w:szCs w:val="22"/>
        </w:rPr>
        <w:t xml:space="preserve"> NA </w:t>
      </w:r>
      <w:r>
        <w:rPr>
          <w:rFonts w:eastAsia="Times New Roman" w:cs="Times New Roman" w:ascii="Times New Roman" w:hAnsi="Times New Roman"/>
          <w:b w:val="false"/>
          <w:bCs w:val="false"/>
          <w:i w:val="false"/>
          <w:iCs w:val="false"/>
          <w:sz w:val="22"/>
          <w:szCs w:val="22"/>
          <w:highlight w:val="white"/>
          <w:lang w:eastAsia="pl-PL"/>
        </w:rPr>
        <w:t>zakup i dostawę leków do apteki szpitalnej</w:t>
      </w:r>
      <w:r>
        <w:rPr>
          <w:rFonts w:eastAsia="Times New Roman" w:cs="Times New Roman" w:ascii="Times New Roman" w:hAnsi="Times New Roman"/>
          <w:b w:val="false"/>
          <w:bCs w:val="false"/>
          <w:i w:val="false"/>
          <w:iCs w:val="false"/>
          <w:color w:val="auto"/>
          <w:sz w:val="22"/>
          <w:szCs w:val="22"/>
          <w:highlight w:val="white"/>
          <w:lang w:eastAsia="pl-PL"/>
        </w:rPr>
        <w:t>.</w:t>
      </w:r>
    </w:p>
    <w:p>
      <w:pPr>
        <w:pStyle w:val="Normal"/>
        <w:spacing w:lineRule="auto" w:line="276" w:before="360" w:after="120"/>
        <w:ind w:hanging="0"/>
        <w:jc w:val="both"/>
        <w:rPr>
          <w:rFonts w:ascii="Times New Roman" w:hAnsi="Times New Roman"/>
          <w:sz w:val="22"/>
          <w:szCs w:val="22"/>
        </w:rPr>
      </w:pPr>
      <w:r>
        <w:rPr>
          <w:rFonts w:cs="Calibri" w:ascii="Times New Roman" w:hAnsi="Times New Roman" w:cstheme="minorHAnsi"/>
          <w:b/>
          <w:sz w:val="22"/>
          <w:szCs w:val="22"/>
        </w:rPr>
        <w:t xml:space="preserve">Zamawiający </w:t>
      </w:r>
      <w:r>
        <w:rPr>
          <w:rFonts w:cs="Calibri" w:ascii="Times New Roman" w:hAnsi="Times New Roman" w:cstheme="minorHAnsi"/>
          <w:sz w:val="22"/>
          <w:szCs w:val="22"/>
        </w:rPr>
        <w:t>– Zespół Opieki Zdrowotnej w Pińczowie, udziela na podstawie art. 135 ust. 2 ustawy PZP odpowiedzi na wnioski Wykonawców złożone w przedmiotowym postępowaniu.</w:t>
      </w:r>
    </w:p>
    <w:p>
      <w:pPr>
        <w:pStyle w:val="Normal"/>
        <w:numPr>
          <w:ilvl w:val="0"/>
          <w:numId w:val="1"/>
        </w:numPr>
        <w:spacing w:lineRule="auto" w:line="360"/>
        <w:ind w:left="720" w:right="567" w:hanging="360"/>
        <w:jc w:val="both"/>
        <w:rPr>
          <w:rFonts w:ascii="Times New Roman" w:hAnsi="Times New Roman" w:cs="Calibri"/>
          <w:sz w:val="22"/>
          <w:szCs w:val="22"/>
        </w:rPr>
      </w:pPr>
      <w:r>
        <w:rPr>
          <w:rFonts w:cs="Calibri" w:ascii="Times New Roman" w:hAnsi="Times New Roman"/>
          <w:b w:val="false"/>
          <w:sz w:val="22"/>
          <w:szCs w:val="22"/>
        </w:rPr>
        <w:t xml:space="preserve">1. </w:t>
      </w:r>
      <w:bookmarkStart w:id="0" w:name="_Hlk61347415"/>
      <w:r>
        <w:rPr>
          <w:rFonts w:cs="Calibri" w:ascii="Times New Roman" w:hAnsi="Times New Roman"/>
          <w:sz w:val="22"/>
          <w:szCs w:val="22"/>
        </w:rPr>
        <w:t>Czy w Pakiecie nr 1 poz. 117 i 118 (Dexamethasonum inj.) Zamawiający wymaga zaoferowania produktu leczniczego posiadającego potwierdzone w Charakterystyce Produktu Leczniczego wskazania do stosowania w leczeniu COVID-19 u pacjentów dorosłych i młodzieży (w wieku 12 lat i starszych o masie ciała wynoszącej co najmniej 40 kg), którzy wymagają tlenoterapii?</w:t>
      </w:r>
      <w:bookmarkEnd w:id="0"/>
    </w:p>
    <w:p>
      <w:pPr>
        <w:pStyle w:val="Normal"/>
        <w:spacing w:lineRule="auto" w:line="360"/>
        <w:ind w:left="0" w:right="567" w:hanging="0"/>
        <w:jc w:val="both"/>
        <w:rPr>
          <w:rFonts w:ascii="Times New Roman" w:hAnsi="Times New Roman"/>
          <w:sz w:val="22"/>
          <w:szCs w:val="22"/>
        </w:rPr>
      </w:pPr>
      <w:r>
        <w:rPr>
          <w:rFonts w:cs="Calibri" w:ascii="Times New Roman" w:hAnsi="Times New Roman"/>
          <w:sz w:val="22"/>
          <w:szCs w:val="22"/>
        </w:rPr>
        <w:t xml:space="preserve">Informujemy, że w dniu 10.12.2020 roku Urząd Rejestracji Produktów Leczniczych, Wyrobów Medycznych i Produktów Biobójczych przyjął zmianę w punkcie 4.1 Charakterystyki Produktu Leczniczego i ulotki dla pacjenta polegającą na wprowadzeniu nowego wskazania do stosowania produktu leczniczego (pozwolenie nr R/1077): </w:t>
      </w:r>
      <w:r>
        <w:rPr>
          <w:rFonts w:cs="Calibri" w:ascii="Times New Roman" w:hAnsi="Times New Roman"/>
          <w:i/>
          <w:iCs/>
          <w:sz w:val="22"/>
          <w:szCs w:val="22"/>
        </w:rPr>
        <w:t>„Dexaven jest wskazany w leczeniu COVID-19 u pacjentów dorosłych i młodzieży (w wieku 12 lat i starszych o masie ciała wynoszącej co najmniej 40 kg), którzy wymagają tlenoterapii”.</w:t>
      </w:r>
    </w:p>
    <w:p>
      <w:pPr>
        <w:pStyle w:val="Akapitzlist"/>
        <w:numPr>
          <w:ilvl w:val="0"/>
          <w:numId w:val="0"/>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Tak, Zamawiający wymaga</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Tretekstu"/>
        <w:numPr>
          <w:ilvl w:val="0"/>
          <w:numId w:val="1"/>
        </w:numPr>
        <w:spacing w:lineRule="auto" w:line="360"/>
        <w:ind w:left="720" w:right="567" w:hanging="360"/>
        <w:jc w:val="both"/>
        <w:rPr>
          <w:rFonts w:ascii="Times New Roman" w:hAnsi="Times New Roman" w:cs="Calibri"/>
          <w:b w:val="false"/>
          <w:b w:val="false"/>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Czy w Pakiecie nr 1 poz. 117 i 118 (Dexamethasonum inj.) Zamawiający wymaga, aby dexamethasone posiadał zarejestrowane i potwierdzone w karcie charakterystyki produktu leczniczego wskazania do profilaktyki nudności i wymiotów indukowanych chemio- lub radioterapią oraz innych działań niepożądanych i powikłań związanych z prowadzoną terapią przeciwnowotworową, a także wskazania do profilaktyki i leczenia powikłań zabiegów chirurgicznych, w tym głównie nudności i wymiotów, którym można zapobiec lub złagodzić poprzez podanie glikokortykosteroidów?  </w:t>
      </w:r>
    </w:p>
    <w:p>
      <w:pPr>
        <w:pStyle w:val="Akapitzlist"/>
        <w:numPr>
          <w:ilvl w:val="0"/>
          <w:numId w:val="0"/>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Tak, Zamawiający wymaga</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Normal"/>
        <w:numPr>
          <w:ilvl w:val="0"/>
          <w:numId w:val="2"/>
        </w:numPr>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 xml:space="preserve">Czy </w:t>
      </w:r>
      <w:r>
        <w:rPr>
          <w:rFonts w:eastAsia="Times New Roman" w:cs="Calibri" w:ascii="Times New Roman" w:hAnsi="Times New Roman"/>
          <w:bCs/>
          <w:sz w:val="22"/>
          <w:szCs w:val="22"/>
          <w:u w:val="single"/>
        </w:rPr>
        <w:t xml:space="preserve">w Pakiecie nr 1 poz. 147  </w:t>
      </w:r>
      <w:r>
        <w:rPr>
          <w:rFonts w:ascii="Times New Roman" w:hAnsi="Times New Roman"/>
          <w:sz w:val="22"/>
          <w:szCs w:val="22"/>
        </w:rPr>
        <w:t xml:space="preserve">Zamawiający dopuści zaoferowanie produktu EnteroDr., również zawierającego 250 mg drożdżaków </w:t>
      </w:r>
      <w:r>
        <w:rPr>
          <w:rFonts w:ascii="Times New Roman" w:hAnsi="Times New Roman"/>
          <w:i/>
          <w:iCs/>
          <w:sz w:val="22"/>
          <w:szCs w:val="22"/>
        </w:rPr>
        <w:t>Saccharomyces boulardii</w:t>
      </w:r>
      <w:r>
        <w:rPr>
          <w:rFonts w:ascii="Times New Roman" w:hAnsi="Times New Roman"/>
          <w:sz w:val="22"/>
          <w:szCs w:val="22"/>
        </w:rPr>
        <w:t xml:space="preserve"> / kaps.?. Zawartość </w:t>
      </w:r>
      <w:r>
        <w:rPr>
          <w:rFonts w:ascii="Times New Roman" w:hAnsi="Times New Roman"/>
          <w:i/>
          <w:iCs/>
          <w:sz w:val="22"/>
          <w:szCs w:val="22"/>
        </w:rPr>
        <w:t>Saccharomyces boulardii</w:t>
      </w:r>
      <w:r>
        <w:rPr>
          <w:rFonts w:ascii="Times New Roman" w:hAnsi="Times New Roman"/>
          <w:sz w:val="22"/>
          <w:szCs w:val="22"/>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w:t>
      </w:r>
    </w:p>
    <w:p>
      <w:pPr>
        <w:pStyle w:val="Akapitzlist"/>
        <w:numPr>
          <w:ilvl w:val="0"/>
          <w:numId w:val="2"/>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Tak, Zamawiający dopuści.</w:t>
      </w:r>
    </w:p>
    <w:p>
      <w:pPr>
        <w:pStyle w:val="Normal"/>
        <w:jc w:val="both"/>
        <w:rPr>
          <w:rFonts w:ascii="Times New Roman" w:hAnsi="Times New Roman"/>
          <w:sz w:val="22"/>
          <w:szCs w:val="22"/>
        </w:rPr>
      </w:pPr>
      <w:r>
        <w:rPr>
          <w:rFonts w:eastAsia="Times New Roman" w:cs="Calibri" w:ascii="Times New Roman" w:hAnsi="Times New Roman"/>
          <w:bCs/>
          <w:sz w:val="22"/>
          <w:szCs w:val="22"/>
          <w:u w:val="single"/>
        </w:rPr>
        <w:t xml:space="preserve">Poniższe pytania dotyczą opisu przedmiotu zamówienia w Pakiecie nr 1 poz. 237 </w:t>
      </w:r>
      <w:r>
        <w:rPr>
          <w:rFonts w:cs="Calibri" w:ascii="Times New Roman" w:hAnsi="Times New Roman"/>
          <w:color w:val="000000"/>
          <w:sz w:val="22"/>
          <w:szCs w:val="22"/>
          <w:u w:val="single"/>
        </w:rPr>
        <w:t>w przedmiotowym postępowaniu:</w:t>
      </w:r>
    </w:p>
    <w:p>
      <w:pPr>
        <w:pStyle w:val="Normal"/>
        <w:numPr>
          <w:ilvl w:val="0"/>
          <w:numId w:val="2"/>
        </w:numPr>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 xml:space="preserve">Czy </w:t>
      </w:r>
      <w:r>
        <w:rPr>
          <w:rFonts w:eastAsia="Times New Roman" w:cs="Calibri" w:ascii="Times New Roman" w:hAnsi="Times New Roman"/>
          <w:bCs/>
          <w:sz w:val="22"/>
          <w:szCs w:val="22"/>
          <w:u w:val="single"/>
        </w:rPr>
        <w:t xml:space="preserve">w Pakiecie nr 1 poz. 237  </w:t>
      </w:r>
      <w:r>
        <w:rPr>
          <w:rFonts w:ascii="Times New Roman" w:hAnsi="Times New Roman"/>
          <w:sz w:val="22"/>
          <w:szCs w:val="22"/>
        </w:rPr>
        <w:t xml:space="preserve">Zamawiający dopuści zaoferowanie produktu ProbioDr, zawierającego 2 mld CFU bakterii </w:t>
      </w:r>
      <w:r>
        <w:rPr>
          <w:rFonts w:ascii="Times New Roman" w:hAnsi="Times New Roman"/>
          <w:i/>
          <w:iCs/>
          <w:sz w:val="22"/>
          <w:szCs w:val="22"/>
        </w:rPr>
        <w:t>Lactobacillus rhamnosus GG ATCC53103</w:t>
      </w:r>
      <w:r>
        <w:rPr>
          <w:rFonts w:ascii="Times New Roman" w:hAnsi="Times New Roman"/>
          <w:sz w:val="22"/>
          <w:szCs w:val="22"/>
        </w:rPr>
        <w:t xml:space="preserve"> i </w:t>
      </w:r>
      <w:r>
        <w:rPr>
          <w:rFonts w:ascii="Times New Roman" w:hAnsi="Times New Roman"/>
          <w:i/>
          <w:iCs/>
          <w:sz w:val="22"/>
          <w:szCs w:val="22"/>
        </w:rPr>
        <w:t>Lactobacillus helveticus</w:t>
      </w:r>
      <w:r>
        <w:rPr>
          <w:rFonts w:ascii="Times New Roman" w:hAnsi="Times New Roman"/>
          <w:sz w:val="22"/>
          <w:szCs w:val="22"/>
        </w:rPr>
        <w:t xml:space="preserve"> w łącznym stężeniu 2 mld CFU/ kaps?? Zawartość oferowanego produktu została potwierdzona w niezależnym badaniu wykonanym w Narodowym Instytucie Leków. Produkt konfekcjonowany w opakowaniach x 60 kapsułek (prosimy o możliwość przeliczenia na odpowiednią liczbę opakowań i zaokrąglenia uzyskanego wyniku w górę).</w:t>
      </w:r>
    </w:p>
    <w:p>
      <w:pPr>
        <w:pStyle w:val="Akapitzlist"/>
        <w:numPr>
          <w:ilvl w:val="0"/>
          <w:numId w:val="2"/>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Nie, Zamawiający nie dopuści.</w:t>
      </w:r>
    </w:p>
    <w:p>
      <w:pPr>
        <w:pStyle w:val="Normal"/>
        <w:numPr>
          <w:ilvl w:val="0"/>
          <w:numId w:val="2"/>
        </w:numPr>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 xml:space="preserve">Czy </w:t>
      </w:r>
      <w:r>
        <w:rPr>
          <w:rFonts w:eastAsia="Times New Roman" w:cs="Calibri" w:ascii="Times New Roman" w:hAnsi="Times New Roman"/>
          <w:bCs/>
          <w:sz w:val="22"/>
          <w:szCs w:val="22"/>
          <w:u w:val="single"/>
        </w:rPr>
        <w:t xml:space="preserve">w Pakiecie nr 1 poz. 237 </w:t>
      </w:r>
      <w:r>
        <w:rPr>
          <w:rFonts w:ascii="Times New Roman" w:hAnsi="Times New Roman"/>
          <w:sz w:val="22"/>
          <w:szCs w:val="22"/>
        </w:rPr>
        <w:t xml:space="preserve">Zamawiający dopuści zaoferowanie produktu LactoDr, zawierającego 6 mld CFU bakterii </w:t>
      </w:r>
      <w:r>
        <w:rPr>
          <w:rFonts w:ascii="Times New Roman" w:hAnsi="Times New Roman"/>
          <w:i/>
          <w:iCs/>
          <w:sz w:val="22"/>
          <w:szCs w:val="22"/>
        </w:rPr>
        <w:t>Lactobacillus rhamnosus GG ATCC53103</w:t>
      </w:r>
      <w:r>
        <w:rPr>
          <w:rFonts w:ascii="Times New Roman" w:hAnsi="Times New Roman"/>
          <w:sz w:val="22"/>
          <w:szCs w:val="22"/>
        </w:rPr>
        <w:t xml:space="preserve"> w stężeniu 6 mld CFU/ kaps? Skład oferowanego produktu został potwierdzony w niezależnym badaniu wykonanym w Narodowym Instytucie Leków. Produkt konfekcjonowany w opakowaniach x 30 kapsułek (prosimy o możliwość przeliczenia na odpowiednią liczbę opakowań i zaokrąglenia uzyskanego wyniku w górę).</w:t>
      </w:r>
    </w:p>
    <w:p>
      <w:pPr>
        <w:pStyle w:val="Akapitzlist"/>
        <w:numPr>
          <w:ilvl w:val="0"/>
          <w:numId w:val="2"/>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Tak, Zamawiający dopuści, dopuszcza się przeliczenie.</w:t>
      </w:r>
    </w:p>
    <w:p>
      <w:pPr>
        <w:pStyle w:val="Normal"/>
        <w:spacing w:before="0" w:after="0"/>
        <w:jc w:val="both"/>
        <w:rPr>
          <w:rFonts w:ascii="Times New Roman" w:hAnsi="Times New Roman"/>
          <w:sz w:val="22"/>
          <w:szCs w:val="22"/>
        </w:rPr>
      </w:pPr>
      <w:r>
        <w:rPr>
          <w:rFonts w:eastAsia="Times New Roman" w:cs="Calibri" w:ascii="Times New Roman" w:hAnsi="Times New Roman"/>
          <w:bCs/>
          <w:sz w:val="22"/>
          <w:szCs w:val="22"/>
          <w:u w:val="single"/>
        </w:rPr>
        <w:t xml:space="preserve">Poniższe pytania dotyczą opisu przedmiotu zamówienia w Pakiecie nr 1 poz. 375, 447 i 527 </w:t>
      </w:r>
      <w:r>
        <w:rPr>
          <w:rFonts w:cs="Calibri" w:ascii="Times New Roman" w:hAnsi="Times New Roman"/>
          <w:color w:val="000000"/>
          <w:sz w:val="22"/>
          <w:szCs w:val="22"/>
          <w:u w:val="single"/>
        </w:rPr>
        <w:t>w przedmiotowym postępowaniu:</w:t>
      </w:r>
    </w:p>
    <w:p>
      <w:pPr>
        <w:pStyle w:val="Normal"/>
        <w:numPr>
          <w:ilvl w:val="0"/>
          <w:numId w:val="2"/>
        </w:numPr>
        <w:spacing w:before="0" w:after="0"/>
        <w:rPr>
          <w:rFonts w:ascii="Times New Roman" w:hAnsi="Times New Roman"/>
          <w:sz w:val="22"/>
          <w:szCs w:val="22"/>
        </w:rPr>
      </w:pPr>
      <w:r>
        <w:rPr>
          <w:rFonts w:cs="Calibri" w:ascii="Times New Roman" w:hAnsi="Times New Roman"/>
          <w:color w:val="000000"/>
          <w:sz w:val="22"/>
          <w:szCs w:val="22"/>
        </w:rPr>
        <w:t xml:space="preserve">4. </w:t>
      </w:r>
      <w:bookmarkStart w:id="1" w:name="_Hlk17115868"/>
      <w:r>
        <w:rPr>
          <w:rFonts w:cs="Calibri" w:ascii="Times New Roman" w:hAnsi="Times New Roman"/>
          <w:color w:val="000000"/>
          <w:sz w:val="22"/>
          <w:szCs w:val="22"/>
        </w:rPr>
        <w:t xml:space="preserve">Zamawiający określa </w:t>
      </w:r>
      <w:r>
        <w:rPr>
          <w:rFonts w:eastAsia="Times New Roman" w:cs="Calibri" w:ascii="Times New Roman" w:hAnsi="Times New Roman"/>
          <w:bCs/>
          <w:sz w:val="22"/>
          <w:szCs w:val="22"/>
          <w:u w:val="single"/>
        </w:rPr>
        <w:t xml:space="preserve">w Pakiecie nr 1 poz. 375, 447 i 527 </w:t>
      </w:r>
      <w:r>
        <w:rPr>
          <w:rFonts w:cs="Calibri" w:ascii="Times New Roman" w:hAnsi="Times New Roman"/>
          <w:color w:val="000000"/>
          <w:sz w:val="22"/>
          <w:szCs w:val="22"/>
        </w:rPr>
        <w:t>system do pomiaru stężenia glukozy we krwi podając nazwy własne pasków testowych będących zastrzeżonym znakiem towarowym konkretnego producenta, co znacząco ogranicza konkurencję asortymentowo-cenową, tym samym narażając szpital na wysoką cenę. Jeżeli Zamawiający dopuści inne systemy dostępne na rynku, które niejednokrotnie przewyższają parametrami system wymagany przez Zamawiającego, miałby możliwość obniżenia kosztów w budżecie przeznaczonym na zakup systemów pomiaru glukozy.</w:t>
      </w:r>
      <w:bookmarkStart w:id="2" w:name="_Hlk528520804"/>
      <w:bookmarkStart w:id="3" w:name="_Hlk528523296"/>
      <w:r>
        <w:rPr>
          <w:rFonts w:cs="Calibri" w:ascii="Times New Roman" w:hAnsi="Times New Roman"/>
          <w:sz w:val="22"/>
          <w:szCs w:val="22"/>
        </w:rPr>
        <w:t xml:space="preserve"> W związku z  tym pytamy, czy Zamawiający, postępując zgodnie z obowiązującymi przepisami ustawy Prawo zamówień publicznych (art. 7 i 29 Pzp) dopuszcza konkurencyjne </w:t>
      </w:r>
      <w:r>
        <w:rPr>
          <w:rFonts w:cs="Calibri" w:ascii="Times New Roman" w:hAnsi="Times New Roman"/>
          <w:color w:val="000000"/>
          <w:sz w:val="22"/>
          <w:szCs w:val="22"/>
        </w:rPr>
        <w:t xml:space="preserve">paski testowe (wraz z przekazaniem kompatybilnych z nimi glukometrów) charakteryzujące się opisanymi poniżej cechami: a) </w:t>
      </w:r>
      <w:r>
        <w:rPr>
          <w:rFonts w:cs="Calibri" w:ascii="Times New Roman" w:hAnsi="Times New Roman"/>
          <w:sz w:val="22"/>
          <w:szCs w:val="22"/>
        </w:rPr>
        <w:t xml:space="preserve">Funkcja Auto-coding; b) Automatyczne wykrywanie zbyt małej ilości krwi wprowadzonej do paska wraz z wyświetleniem odpowiedniego komunikatu informującego o niecałkowitym wypełnieniu paska na wyświetlaczu glukometru; c) Enzym oksydaza glukozy; d) zakres wyników pomiaru w jednostkach 20-600mg/dl; e) Czas pomiaru od chwili wprowadzenia próbki 5s i wielkość próbki 0,5 mikrolitra; f) zakres hematokrytu 10-70%, umożliwiający wykonywanie pomiarów we krwi włośniczkowej osób dorosłych i noworodków; g) bezdotykowy wyrzut zużytego paska po pomiarze za pomocą przycisku; h) stabilność pasków testowych i płynów kontrolnych wynosząca 12 miesięcy po otwarciu fiolki? </w:t>
      </w:r>
      <w:bookmarkEnd w:id="1"/>
    </w:p>
    <w:p>
      <w:pPr>
        <w:pStyle w:val="Akapitzlist"/>
        <w:numPr>
          <w:ilvl w:val="0"/>
          <w:numId w:val="2"/>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Nie, Zamawiający nie dopuści.</w:t>
      </w:r>
    </w:p>
    <w:p>
      <w:pPr>
        <w:pStyle w:val="Normal"/>
        <w:numPr>
          <w:ilvl w:val="0"/>
          <w:numId w:val="2"/>
        </w:numPr>
        <w:spacing w:before="0" w:after="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 xml:space="preserve">Czy Zamawiający dopuszcza </w:t>
      </w:r>
      <w:r>
        <w:rPr>
          <w:rFonts w:eastAsia="Times New Roman" w:cs="Calibri" w:ascii="Times New Roman" w:hAnsi="Times New Roman"/>
          <w:bCs/>
          <w:sz w:val="22"/>
          <w:szCs w:val="22"/>
          <w:u w:val="single"/>
        </w:rPr>
        <w:t xml:space="preserve">w Pakiecie nr 1 poz. 375, 447 i 527  </w:t>
      </w:r>
      <w:r>
        <w:rPr>
          <w:rFonts w:ascii="Times New Roman" w:hAnsi="Times New Roman"/>
          <w:sz w:val="22"/>
          <w:szCs w:val="22"/>
        </w:rPr>
        <w:t xml:space="preserve"> paski testowe do glukometru (wraz z przekazaniem kompatybilnych, nieodpłatnych glukometrów), charakteryzujące się następującymi parametrami: a) zakres wyników pomiaru 20-600 mg/dl i 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mikrolitra, czas pomiaru 5s; </w:t>
      </w:r>
      <w:r>
        <w:rPr>
          <w:rFonts w:cs="Calibri" w:ascii="Times New Roman" w:hAnsi="Times New Roman"/>
          <w:sz w:val="22"/>
          <w:szCs w:val="22"/>
        </w:rPr>
        <w:t>g) podświetlany ekran glukometru</w:t>
      </w:r>
      <w:bookmarkEnd w:id="2"/>
      <w:bookmarkEnd w:id="3"/>
      <w:r>
        <w:rPr>
          <w:rFonts w:cs="Calibri" w:ascii="Times New Roman" w:hAnsi="Times New Roman"/>
          <w:sz w:val="22"/>
          <w:szCs w:val="22"/>
        </w:rPr>
        <w:t xml:space="preserve">? </w:t>
      </w:r>
    </w:p>
    <w:p>
      <w:pPr>
        <w:pStyle w:val="Akapitzlist"/>
        <w:numPr>
          <w:ilvl w:val="0"/>
          <w:numId w:val="2"/>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Nie, Zamawiający nie dopuści.</w:t>
      </w:r>
    </w:p>
    <w:p>
      <w:pPr>
        <w:pStyle w:val="Normal"/>
        <w:spacing w:before="0" w:after="0"/>
        <w:jc w:val="both"/>
        <w:rPr>
          <w:rFonts w:cs="Calibri"/>
        </w:rPr>
      </w:pPr>
      <w:r>
        <w:rPr>
          <w:rFonts w:ascii="Times New Roman" w:hAnsi="Times New Roman"/>
          <w:sz w:val="22"/>
          <w:szCs w:val="22"/>
        </w:rPr>
      </w:r>
    </w:p>
    <w:p>
      <w:pPr>
        <w:pStyle w:val="Normal"/>
        <w:spacing w:before="0" w:after="0"/>
        <w:jc w:val="both"/>
        <w:rPr>
          <w:rFonts w:ascii="Times New Roman" w:hAnsi="Times New Roman"/>
          <w:sz w:val="22"/>
          <w:szCs w:val="22"/>
        </w:rPr>
      </w:pPr>
      <w:r>
        <w:rPr>
          <w:rFonts w:eastAsia="Times New Roman" w:cs="Calibri" w:ascii="Times New Roman" w:hAnsi="Times New Roman"/>
          <w:bCs/>
          <w:sz w:val="22"/>
          <w:szCs w:val="22"/>
          <w:u w:val="single"/>
        </w:rPr>
        <w:t xml:space="preserve">Poniższe pytania dotyczą opisu przedmiotu zamówienia w Pakiecie nr 1 poz. 519 </w:t>
      </w:r>
      <w:r>
        <w:rPr>
          <w:rFonts w:cs="Calibri" w:ascii="Times New Roman" w:hAnsi="Times New Roman"/>
          <w:color w:val="000000"/>
          <w:sz w:val="22"/>
          <w:szCs w:val="22"/>
          <w:u w:val="single"/>
        </w:rPr>
        <w:t>w przedmiotowym postępowaniu:</w:t>
      </w:r>
    </w:p>
    <w:p>
      <w:pPr>
        <w:pStyle w:val="Normal"/>
        <w:numPr>
          <w:ilvl w:val="0"/>
          <w:numId w:val="2"/>
        </w:numPr>
        <w:overflowPunct w:val="false"/>
        <w:spacing w:lineRule="auto" w:line="276" w:before="0" w:after="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6.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Czy </w:t>
      </w:r>
      <w:r>
        <w:rPr>
          <w:rFonts w:eastAsia="Times New Roman" w:cs="Calibri" w:ascii="Times New Roman" w:hAnsi="Times New Roman"/>
          <w:b w:val="false"/>
          <w:bCs/>
          <w:i w:val="false"/>
          <w:iCs w:val="false"/>
          <w:strike w:val="false"/>
          <w:dstrike w:val="false"/>
          <w:color w:val="000000"/>
          <w:sz w:val="22"/>
          <w:szCs w:val="22"/>
          <w:highlight w:val="white"/>
          <w:u w:val="single"/>
          <w:lang w:val="pl-PL" w:eastAsia="pl-PL"/>
        </w:rPr>
        <w:t xml:space="preserve">w Pakiecie nr 1 poz. 519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dopuści zaoferowanie produktu LactoDr, zawierającego żywe, liofilizowane kultury bakterii probiotycznych najlepiej przebadanego pod względem klinicznym szczepu Lactobacillus rhamnosus GG ATTC53103 w stężeniu 6 mld CFU/ kaps? Produkt konfekcjonowany w opakowaniach x 30 kapsułek (prosimy o możliwość przeliczenia na odpowiednią liczbę opakowań i zaokrąglenia uzyskanego wyniku w górę).</w:t>
      </w:r>
    </w:p>
    <w:p>
      <w:pPr>
        <w:pStyle w:val="Akapitzlist"/>
        <w:numPr>
          <w:ilvl w:val="0"/>
          <w:numId w:val="2"/>
        </w:numPr>
        <w:spacing w:lineRule="auto" w:line="276" w:before="0" w:after="120"/>
        <w:ind w:right="0" w:hanging="0"/>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overflowPunct w:val="false"/>
        <w:spacing w:lineRule="auto" w:line="276" w:before="0" w:after="120"/>
        <w:ind w:right="0" w:hanging="0"/>
        <w:jc w:val="left"/>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Tak, Zamawiający dopuści.</w:t>
      </w:r>
    </w:p>
    <w:p>
      <w:pPr>
        <w:pStyle w:val="Akapitzlist"/>
        <w:overflowPunct w:val="false"/>
        <w:spacing w:lineRule="auto" w:line="276" w:before="0" w:after="120"/>
        <w:ind w:right="0" w:hanging="0"/>
        <w:jc w:val="left"/>
        <w:textAlignment w:val="auto"/>
        <w:rPr>
          <w:rFonts w:ascii="Times New Roman" w:hAnsi="Times New Roman" w:eastAsia="Arial Unicode MS"/>
          <w:sz w:val="22"/>
          <w:szCs w:val="22"/>
          <w:u w:val="single"/>
        </w:rPr>
      </w:pPr>
      <w:r>
        <w:rPr>
          <w:rFonts w:eastAsia="Arial Unicode MS" w:ascii="Times New Roman" w:hAnsi="Times New Roman"/>
          <w:sz w:val="22"/>
          <w:szCs w:val="22"/>
          <w:u w:val="single"/>
        </w:rPr>
      </w:r>
    </w:p>
    <w:p>
      <w:pPr>
        <w:pStyle w:val="Default"/>
        <w:numPr>
          <w:ilvl w:val="0"/>
          <w:numId w:val="3"/>
        </w:numPr>
        <w:spacing w:lineRule="auto" w:line="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 xml:space="preserve">Zwracamy się z prośbą o określenie w jaki sposób postąpić w przypadku zaprzestania lub braku produkcji danego preparatu. Czy Zamawiający wyrazi zgodę na podanie ostatniej ceny i informacji pod pakietem? </w:t>
      </w:r>
    </w:p>
    <w:p>
      <w:pPr>
        <w:pStyle w:val="Default"/>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spacing w:lineRule="auto" w:line="360"/>
        <w:rPr>
          <w:rFonts w:ascii="Times New Roman" w:hAnsi="Times New Roman"/>
          <w:b w:val="false"/>
          <w:b w:val="false"/>
          <w:bCs w:val="false"/>
          <w:sz w:val="22"/>
          <w:szCs w:val="22"/>
          <w:u w:val="none"/>
        </w:rPr>
      </w:pPr>
      <w:r>
        <w:rPr>
          <w:rFonts w:ascii="Times New Roman" w:hAnsi="Times New Roman"/>
          <w:b w:val="false"/>
          <w:bCs w:val="false"/>
          <w:sz w:val="22"/>
          <w:szCs w:val="22"/>
          <w:u w:val="none"/>
        </w:rPr>
        <w:t>informacja w Rozdziale IV ust. 14 SWZ.</w:t>
      </w:r>
    </w:p>
    <w:p>
      <w:pPr>
        <w:pStyle w:val="Default"/>
        <w:spacing w:lineRule="auto" w:line="360"/>
        <w:rPr>
          <w:rFonts w:ascii="Times New Roman" w:hAnsi="Times New Roman"/>
          <w:sz w:val="22"/>
          <w:szCs w:val="22"/>
        </w:rPr>
      </w:pPr>
      <w:r>
        <w:rPr>
          <w:rFonts w:ascii="Times New Roman" w:hAnsi="Times New Roman"/>
          <w:sz w:val="22"/>
          <w:szCs w:val="22"/>
        </w:rPr>
      </w:r>
    </w:p>
    <w:p>
      <w:pPr>
        <w:pStyle w:val="Default"/>
        <w:numPr>
          <w:ilvl w:val="0"/>
          <w:numId w:val="3"/>
        </w:numPr>
        <w:spacing w:lineRule="auto" w:line="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Czy zamawiający wyraża zgodę na zmianę wielkości opakowań ? Proszę podać sposób przeliczenia – do 2 miejsc po przecinku czy do pełnego opakowania w górę ?</w:t>
      </w:r>
    </w:p>
    <w:p>
      <w:pPr>
        <w:pStyle w:val="Default"/>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spacing w:lineRule="auto" w:line="360"/>
        <w:rPr>
          <w:rFonts w:ascii="Times New Roman" w:hAnsi="Times New Roman"/>
          <w:b w:val="false"/>
          <w:b w:val="false"/>
          <w:bCs w:val="false"/>
          <w:sz w:val="22"/>
          <w:szCs w:val="22"/>
          <w:u w:val="none"/>
        </w:rPr>
      </w:pPr>
      <w:r>
        <w:rPr>
          <w:rFonts w:ascii="Times New Roman" w:hAnsi="Times New Roman"/>
          <w:b w:val="false"/>
          <w:bCs w:val="false"/>
          <w:sz w:val="22"/>
          <w:szCs w:val="22"/>
          <w:u w:val="none"/>
        </w:rPr>
        <w:t>Tak, Zamawiający wyraża zgodę, należy przeliczyć do pełnego opakowania w górę.</w:t>
      </w:r>
    </w:p>
    <w:p>
      <w:pPr>
        <w:pStyle w:val="Default"/>
        <w:spacing w:lineRule="auto" w:line="360"/>
        <w:rPr>
          <w:rFonts w:ascii="Times New Roman" w:hAnsi="Times New Roman"/>
          <w:sz w:val="22"/>
          <w:szCs w:val="22"/>
        </w:rPr>
      </w:pPr>
      <w:r>
        <w:rPr>
          <w:rFonts w:ascii="Times New Roman" w:hAnsi="Times New Roman"/>
          <w:sz w:val="22"/>
          <w:szCs w:val="22"/>
        </w:rPr>
      </w:r>
    </w:p>
    <w:p>
      <w:pPr>
        <w:pStyle w:val="Normal"/>
        <w:numPr>
          <w:ilvl w:val="0"/>
          <w:numId w:val="3"/>
        </w:numPr>
        <w:spacing w:lineRule="auto" w:line="360"/>
        <w:rPr>
          <w:rFonts w:ascii="Times New Roman" w:hAnsi="Times New Roman"/>
          <w:sz w:val="22"/>
          <w:szCs w:val="22"/>
        </w:rPr>
      </w:pPr>
      <w:r>
        <w:rPr>
          <w:rFonts w:ascii="Times New Roman" w:hAnsi="Times New Roman"/>
          <w:color w:val="000000"/>
          <w:sz w:val="22"/>
          <w:szCs w:val="22"/>
        </w:rPr>
        <w:t xml:space="preserve">3. </w:t>
      </w:r>
      <w:r>
        <w:rPr>
          <w:rFonts w:ascii="Times New Roman" w:hAnsi="Times New Roman"/>
          <w:color w:val="000000"/>
          <w:sz w:val="22"/>
          <w:szCs w:val="22"/>
        </w:rPr>
        <w:t>Czy Zamawiający wyrazi zgodę na zmianę postaci proponowanych preparatów – tabletki na tabletki powlekane lub kapsułki lub drażetki i odwrotnie?</w:t>
      </w:r>
    </w:p>
    <w:p>
      <w:pPr>
        <w:pStyle w:val="Default"/>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spacing w:lineRule="auto" w:line="360"/>
        <w:rPr>
          <w:rFonts w:ascii="Times New Roman" w:hAnsi="Times New Roman"/>
          <w:b w:val="false"/>
          <w:b w:val="false"/>
          <w:bCs w:val="false"/>
          <w:sz w:val="22"/>
          <w:szCs w:val="22"/>
          <w:u w:val="none"/>
        </w:rPr>
      </w:pPr>
      <w:r>
        <w:rPr>
          <w:rFonts w:ascii="Times New Roman" w:hAnsi="Times New Roman"/>
          <w:b w:val="false"/>
          <w:bCs w:val="false"/>
          <w:color w:val="000000"/>
          <w:sz w:val="22"/>
          <w:szCs w:val="22"/>
          <w:u w:val="none"/>
        </w:rPr>
        <w:t>Tak, Zamawiający wyraża zgodę. Ale nie dotyczy to form o przedłużonym uwalnianiu.</w:t>
      </w:r>
    </w:p>
    <w:p>
      <w:pPr>
        <w:pStyle w:val="Normal"/>
        <w:spacing w:lineRule="auto" w:line="360"/>
        <w:rPr>
          <w:color w:val="000000"/>
        </w:rPr>
      </w:pPr>
      <w:r>
        <w:rPr>
          <w:rFonts w:ascii="Times New Roman" w:hAnsi="Times New Roman"/>
          <w:sz w:val="22"/>
          <w:szCs w:val="22"/>
        </w:rPr>
      </w:r>
    </w:p>
    <w:p>
      <w:pPr>
        <w:pStyle w:val="Normal"/>
        <w:numPr>
          <w:ilvl w:val="0"/>
          <w:numId w:val="3"/>
        </w:numPr>
        <w:spacing w:lineRule="auto" w:line="360"/>
        <w:rPr>
          <w:rFonts w:ascii="Times New Roman" w:hAnsi="Times New Roman"/>
          <w:sz w:val="22"/>
          <w:szCs w:val="22"/>
        </w:rPr>
      </w:pPr>
      <w:r>
        <w:rPr>
          <w:rFonts w:ascii="Times New Roman" w:hAnsi="Times New Roman"/>
          <w:color w:val="000000"/>
          <w:sz w:val="22"/>
          <w:szCs w:val="22"/>
        </w:rPr>
        <w:t xml:space="preserve">4. </w:t>
      </w:r>
      <w:r>
        <w:rPr>
          <w:rFonts w:ascii="Times New Roman" w:hAnsi="Times New Roman"/>
          <w:color w:val="000000"/>
          <w:sz w:val="22"/>
          <w:szCs w:val="22"/>
        </w:rPr>
        <w:t>Czy Zamawiający wyrazi zgodę na zmianę postaci proponowanych preparatów – fiolki na ampułki lub ampułko-strzykawki i odwrotnie?</w:t>
      </w:r>
    </w:p>
    <w:p>
      <w:pPr>
        <w:pStyle w:val="Default"/>
        <w:numPr>
          <w:ilvl w:val="0"/>
          <w:numId w:val="3"/>
        </w:numPr>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numPr>
          <w:ilvl w:val="0"/>
          <w:numId w:val="3"/>
        </w:numPr>
        <w:spacing w:lineRule="auto" w:line="360"/>
        <w:rPr>
          <w:rFonts w:ascii="Times New Roman" w:hAnsi="Times New Roman"/>
          <w:b w:val="false"/>
          <w:b w:val="false"/>
          <w:bCs w:val="false"/>
          <w:sz w:val="22"/>
          <w:szCs w:val="22"/>
          <w:u w:val="none"/>
        </w:rPr>
      </w:pPr>
      <w:r>
        <w:rPr>
          <w:rFonts w:ascii="Times New Roman" w:hAnsi="Times New Roman"/>
          <w:b w:val="false"/>
          <w:bCs w:val="false"/>
          <w:color w:val="000000"/>
          <w:sz w:val="22"/>
          <w:szCs w:val="22"/>
          <w:u w:val="none"/>
        </w:rPr>
        <w:t>Tak, Zamawiający wyraża zgodę.</w:t>
      </w:r>
    </w:p>
    <w:p>
      <w:pPr>
        <w:pStyle w:val="Normal"/>
        <w:numPr>
          <w:ilvl w:val="0"/>
          <w:numId w:val="3"/>
        </w:numPr>
        <w:spacing w:lineRule="auto" w:line="36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Czy Zamawiający wyrazi zgodę na zmianę wielkości opakowań płynów, syropów, maści, kremów itp. celem zaproponowania oferty korzystniejszej cenowo (przeliczenie ilości opakowań miałoby miejsce w oparciu o mg, ml itp.)</w:t>
      </w:r>
    </w:p>
    <w:p>
      <w:pPr>
        <w:pStyle w:val="Default"/>
        <w:numPr>
          <w:ilvl w:val="0"/>
          <w:numId w:val="3"/>
        </w:numPr>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numPr>
          <w:ilvl w:val="0"/>
          <w:numId w:val="3"/>
        </w:numPr>
        <w:spacing w:lineRule="auto" w:line="360"/>
        <w:jc w:val="both"/>
        <w:rPr>
          <w:rFonts w:ascii="Times New Roman" w:hAnsi="Times New Roman"/>
          <w:sz w:val="22"/>
          <w:szCs w:val="22"/>
        </w:rPr>
      </w:pPr>
      <w:r>
        <w:rPr>
          <w:rFonts w:ascii="Times New Roman" w:hAnsi="Times New Roman"/>
          <w:b w:val="false"/>
          <w:bCs w:val="false"/>
          <w:color w:val="000000"/>
          <w:sz w:val="22"/>
          <w:szCs w:val="22"/>
          <w:u w:val="none"/>
        </w:rPr>
        <w:t>Tak, Zamawiający wyraża zgodę.</w:t>
      </w:r>
    </w:p>
    <w:p>
      <w:pPr>
        <w:pStyle w:val="Default"/>
        <w:numPr>
          <w:ilvl w:val="0"/>
          <w:numId w:val="3"/>
        </w:numPr>
        <w:spacing w:lineRule="auto" w:line="360"/>
        <w:jc w:val="both"/>
        <w:rPr>
          <w:b w:val="false"/>
          <w:b w:val="false"/>
          <w:bCs w:val="false"/>
          <w:color w:val="000000"/>
          <w:u w:val="none"/>
        </w:rPr>
      </w:pPr>
      <w:r>
        <w:rPr>
          <w:rFonts w:ascii="Times New Roman" w:hAnsi="Times New Roman"/>
          <w:sz w:val="22"/>
          <w:szCs w:val="22"/>
        </w:rPr>
      </w:r>
    </w:p>
    <w:p>
      <w:pPr>
        <w:pStyle w:val="Default"/>
        <w:numPr>
          <w:ilvl w:val="0"/>
          <w:numId w:val="3"/>
        </w:numPr>
        <w:spacing w:lineRule="auto" w:line="360"/>
        <w:jc w:val="both"/>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pPr>
        <w:pStyle w:val="Default"/>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spacing w:lineRule="auto" w:line="360"/>
        <w:jc w:val="both"/>
        <w:rPr>
          <w:rFonts w:ascii="Times New Roman" w:hAnsi="Times New Roman"/>
          <w:b w:val="false"/>
          <w:b w:val="false"/>
          <w:bCs w:val="false"/>
          <w:sz w:val="22"/>
          <w:szCs w:val="22"/>
          <w:u w:val="none"/>
        </w:rPr>
      </w:pPr>
      <w:r>
        <w:rPr>
          <w:rFonts w:ascii="Times New Roman" w:hAnsi="Times New Roman"/>
          <w:b w:val="false"/>
          <w:bCs w:val="false"/>
          <w:color w:val="000000"/>
          <w:sz w:val="22"/>
          <w:szCs w:val="22"/>
          <w:u w:val="none"/>
        </w:rPr>
        <w:t>Należy podać pełne ilości opakowań zaokrąglone w górę.</w:t>
      </w:r>
    </w:p>
    <w:p>
      <w:pPr>
        <w:pStyle w:val="Default"/>
        <w:spacing w:lineRule="auto" w:line="360"/>
        <w:jc w:val="both"/>
        <w:rPr>
          <w:rFonts w:ascii="Times New Roman" w:hAnsi="Times New Roman"/>
          <w:sz w:val="22"/>
          <w:szCs w:val="22"/>
        </w:rPr>
      </w:pPr>
      <w:r>
        <w:rPr>
          <w:rFonts w:ascii="Times New Roman" w:hAnsi="Times New Roman"/>
          <w:sz w:val="22"/>
          <w:szCs w:val="22"/>
        </w:rPr>
      </w:r>
    </w:p>
    <w:p>
      <w:pPr>
        <w:pStyle w:val="Tretekstu"/>
        <w:numPr>
          <w:ilvl w:val="0"/>
          <w:numId w:val="3"/>
        </w:numPr>
        <w:spacing w:lineRule="auto" w:line="360" w:before="0" w:after="0"/>
        <w:jc w:val="both"/>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Czy Zamawiający dopuści wycenę produktów dostępnych na jednorazowe zezwolenie MZ ? W sytuacji jeśli aktualnie tylko takie produkty są dostępne na rynku.</w:t>
      </w:r>
    </w:p>
    <w:p>
      <w:pPr>
        <w:pStyle w:val="Default"/>
        <w:spacing w:lineRule="auto" w:line="360" w:before="0" w:after="0"/>
        <w:jc w:val="both"/>
        <w:rPr>
          <w:rFonts w:ascii="Times New Roman" w:hAnsi="Times New Roman"/>
          <w:b/>
          <w:b/>
          <w:bCs/>
          <w:sz w:val="22"/>
          <w:szCs w:val="22"/>
          <w:u w:val="single"/>
        </w:rPr>
      </w:pPr>
      <w:r>
        <w:rPr>
          <w:rFonts w:ascii="Times New Roman" w:hAnsi="Times New Roman"/>
          <w:b/>
          <w:bCs/>
          <w:sz w:val="22"/>
          <w:szCs w:val="22"/>
          <w:u w:val="single"/>
        </w:rPr>
        <w:t>Odpowiedź</w:t>
      </w:r>
    </w:p>
    <w:p>
      <w:pPr>
        <w:pStyle w:val="Tretekstu"/>
        <w:spacing w:lineRule="auto" w:line="360" w:before="0" w:after="0"/>
        <w:jc w:val="both"/>
        <w:rPr>
          <w:rFonts w:ascii="Times New Roman" w:hAnsi="Times New Roman"/>
          <w:sz w:val="22"/>
          <w:szCs w:val="22"/>
        </w:rPr>
      </w:pPr>
      <w:r>
        <w:rPr>
          <w:rFonts w:ascii="Times New Roman" w:hAnsi="Times New Roman"/>
          <w:sz w:val="22"/>
          <w:szCs w:val="22"/>
        </w:rPr>
        <w:t>Tak, Zamawiający dopuści, ale tylko gdy brak jest produktów z przetargu.</w:t>
      </w:r>
    </w:p>
    <w:p>
      <w:pPr>
        <w:pStyle w:val="Tretekstu"/>
        <w:spacing w:lineRule="auto" w:line="360" w:before="0" w:after="0"/>
        <w:jc w:val="both"/>
        <w:rPr>
          <w:rFonts w:cs="Times New Roman"/>
        </w:rPr>
      </w:pPr>
      <w:r>
        <w:rPr>
          <w:rFonts w:ascii="Times New Roman" w:hAnsi="Times New Roman"/>
          <w:sz w:val="22"/>
          <w:szCs w:val="22"/>
        </w:rPr>
      </w:r>
    </w:p>
    <w:p>
      <w:pPr>
        <w:pStyle w:val="Tretekstu"/>
        <w:spacing w:lineRule="auto" w:line="360" w:before="0" w:after="0"/>
        <w:jc w:val="both"/>
        <w:rPr>
          <w:rFonts w:ascii="Times New Roman" w:hAnsi="Times New Roman"/>
          <w:sz w:val="22"/>
          <w:szCs w:val="22"/>
        </w:rPr>
      </w:pPr>
      <w:r>
        <w:rPr>
          <w:rFonts w:cs="Times New Roman" w:ascii="Times New Roman" w:hAnsi="Times New Roman"/>
          <w:sz w:val="22"/>
          <w:szCs w:val="22"/>
        </w:rPr>
        <w:t>8.</w:t>
      </w:r>
      <w:r>
        <w:rPr>
          <w:rFonts w:cs="Times New Roman" w:ascii="Times New Roman" w:hAnsi="Times New Roman"/>
          <w:sz w:val="22"/>
          <w:szCs w:val="22"/>
        </w:rPr>
        <w:t xml:space="preserve"> „W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 </w:t>
      </w:r>
    </w:p>
    <w:p>
      <w:pPr>
        <w:pStyle w:val="ListParagraph"/>
        <w:spacing w:lineRule="auto" w:line="360"/>
        <w:ind w:hanging="0"/>
        <w:rPr>
          <w:rFonts w:ascii="Times New Roman" w:hAnsi="Times New Roman"/>
          <w:sz w:val="22"/>
          <w:szCs w:val="22"/>
        </w:rPr>
      </w:pPr>
      <w:r>
        <w:rPr>
          <w:rFonts w:cs="Times New Roman" w:ascii="Times New Roman" w:hAnsi="Times New Roman"/>
          <w:sz w:val="22"/>
          <w:szCs w:val="22"/>
        </w:rPr>
        <w:t>Obowiązkiem wykonawcy jest współdziałanie z zamawiającym polegające na zadawaniu pytań wyjaśniających treść SIWZ (SWZ) (wyrok SN z 5 czerwca 2014 r. sygn. akt CSK 626/13), analogicznym obowiązkiem zamawiającego jest udzielanie rzetelnych i precyzyjnych wyjaśnień.”</w:t>
      </w:r>
    </w:p>
    <w:p>
      <w:pPr>
        <w:pStyle w:val="Default"/>
        <w:spacing w:lineRule="auto" w:line="360" w:before="0" w:after="0"/>
        <w:jc w:val="both"/>
        <w:rPr>
          <w:rFonts w:ascii="Times New Roman" w:hAnsi="Times New Roman"/>
          <w:b/>
          <w:b/>
          <w:bCs/>
          <w:sz w:val="22"/>
          <w:szCs w:val="22"/>
          <w:u w:val="single"/>
        </w:rPr>
      </w:pPr>
      <w:r>
        <w:rPr>
          <w:rFonts w:ascii="Times New Roman" w:hAnsi="Times New Roman"/>
          <w:b/>
          <w:bCs/>
          <w:sz w:val="22"/>
          <w:szCs w:val="22"/>
          <w:u w:val="single"/>
        </w:rPr>
        <w:t>Odpowiedź</w:t>
      </w:r>
    </w:p>
    <w:p>
      <w:pPr>
        <w:pStyle w:val="Tretekstu"/>
        <w:spacing w:lineRule="auto" w:line="360" w:before="0" w:after="0"/>
        <w:ind w:hanging="0"/>
        <w:jc w:val="both"/>
        <w:rPr>
          <w:rFonts w:ascii="Times New Roman" w:hAnsi="Times New Roman"/>
          <w:sz w:val="22"/>
          <w:szCs w:val="22"/>
        </w:rPr>
      </w:pPr>
      <w:r>
        <w:rPr>
          <w:rFonts w:cs="Times New Roman" w:ascii="Times New Roman" w:hAnsi="Times New Roman"/>
          <w:sz w:val="22"/>
          <w:szCs w:val="22"/>
        </w:rPr>
        <w:t>Tak, Zamawiający udziela jednoznacznych i precyzyjnych odpowiedzi.</w:t>
      </w:r>
    </w:p>
    <w:p>
      <w:pPr>
        <w:pStyle w:val="ListParagraph"/>
        <w:spacing w:lineRule="auto" w:line="360"/>
        <w:ind w:hanging="0"/>
        <w:rPr>
          <w:rFonts w:cs="Times New Roman"/>
        </w:rPr>
      </w:pPr>
      <w:r>
        <w:rPr>
          <w:rFonts w:ascii="Times New Roman" w:hAnsi="Times New Roman"/>
          <w:sz w:val="22"/>
          <w:szCs w:val="22"/>
        </w:rPr>
      </w:r>
    </w:p>
    <w:p>
      <w:pPr>
        <w:pStyle w:val="Tretekstu"/>
        <w:numPr>
          <w:ilvl w:val="0"/>
          <w:numId w:val="3"/>
        </w:numPr>
        <w:overflowPunct w:val="false"/>
        <w:spacing w:lineRule="auto" w:line="360" w:before="0" w:after="0"/>
        <w:ind w:right="0" w:hanging="0"/>
        <w:jc w:val="both"/>
        <w:textAlignment w:val="auto"/>
        <w:rPr>
          <w:rFonts w:ascii="Times New Roman" w:hAnsi="Times New Roman"/>
          <w:sz w:val="22"/>
          <w:szCs w:val="22"/>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9. Prosimy o jednoznaczne potwierdzenie czy Zamawiający wymaga czy dopuszcza możliwości przesyłania do Zamawiającego ustrukturyzowanych faktur elektronicznych za pośrednictwem Platformy Elektronicznego Fakturowania. W przypadku wymogu przesyłania faktur poprzez PEF prosimy o dopuszczenie innych formatów plików do importu faktur, tj. np. DATAFARM, KSBLOZ, OSOZ-EDI, WF-MAG.</w:t>
      </w:r>
    </w:p>
    <w:p>
      <w:pPr>
        <w:pStyle w:val="Default"/>
        <w:numPr>
          <w:ilvl w:val="0"/>
          <w:numId w:val="3"/>
        </w:numPr>
        <w:overflowPunct w:val="false"/>
        <w:spacing w:lineRule="auto" w:line="360" w:before="0" w:after="0"/>
        <w:ind w:right="0" w:hanging="0"/>
        <w:jc w:val="both"/>
        <w:textAlignment w:val="auto"/>
        <w:rPr>
          <w:rFonts w:ascii="Times New Roman" w:hAnsi="Times New Roman"/>
          <w:b/>
          <w:b/>
          <w:bCs/>
          <w:sz w:val="22"/>
          <w:szCs w:val="22"/>
          <w:u w:val="single"/>
        </w:rPr>
      </w:pPr>
      <w:r>
        <w:rPr>
          <w:rFonts w:eastAsia="Calibri" w:cs="Times New Roman" w:ascii="Times New Roman" w:hAnsi="Times New Roman"/>
          <w:b/>
          <w:bCs/>
          <w:i w:val="false"/>
          <w:iCs w:val="false"/>
          <w:strike w:val="false"/>
          <w:dstrike w:val="false"/>
          <w:color w:val="000000"/>
          <w:sz w:val="22"/>
          <w:szCs w:val="22"/>
          <w:highlight w:val="white"/>
          <w:u w:val="single"/>
          <w:lang w:val="pl-PL" w:eastAsia="pl-PL"/>
        </w:rPr>
        <w:t>Odpowiedź</w:t>
      </w:r>
    </w:p>
    <w:p>
      <w:pPr>
        <w:pStyle w:val="Default"/>
        <w:numPr>
          <w:ilvl w:val="0"/>
          <w:numId w:val="3"/>
        </w:numPr>
        <w:overflowPunct w:val="false"/>
        <w:spacing w:lineRule="auto" w:line="360" w:before="0" w:after="0"/>
        <w:ind w:right="0" w:hanging="0"/>
        <w:jc w:val="both"/>
        <w:textAlignment w:val="auto"/>
        <w:rPr>
          <w:rFonts w:ascii="Times New Roman" w:hAnsi="Times New Roman"/>
          <w:b w:val="false"/>
          <w:b w:val="false"/>
          <w:bCs w:val="false"/>
          <w:sz w:val="22"/>
          <w:szCs w:val="22"/>
          <w:u w:val="none"/>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dopuszcza przesyłanie faktur w formie papierowej.</w:t>
      </w:r>
    </w:p>
    <w:p>
      <w:pPr>
        <w:pStyle w:val="Default"/>
        <w:overflowPunct w:val="false"/>
        <w:spacing w:lineRule="auto" w:line="360" w:before="0" w:after="0"/>
        <w:ind w:right="0" w:hanging="0"/>
        <w:jc w:val="both"/>
        <w:textAlignment w:val="auto"/>
        <w:rPr>
          <w:rFonts w:eastAsia="Calibri" w:cs="Times New Roman"/>
          <w:i w:val="false"/>
          <w:i w:val="false"/>
          <w:iCs w:val="false"/>
          <w:strike w:val="false"/>
          <w:dstrike w:val="false"/>
          <w:color w:val="000000"/>
          <w:highlight w:val="white"/>
          <w:lang w:val="pl-PL" w:eastAsia="pl-PL"/>
        </w:rPr>
      </w:pPr>
      <w:r>
        <w:rPr>
          <w:rFonts w:ascii="Times New Roman" w:hAnsi="Times New Roman"/>
          <w:b w:val="false"/>
          <w:bCs w:val="false"/>
          <w:sz w:val="22"/>
          <w:szCs w:val="22"/>
          <w:u w:val="none"/>
        </w:rPr>
      </w:r>
    </w:p>
    <w:p>
      <w:pPr>
        <w:pStyle w:val="Normal"/>
        <w:spacing w:lineRule="auto" w:line="360"/>
        <w:jc w:val="both"/>
        <w:rPr>
          <w:rFonts w:ascii="Times New Roman" w:hAnsi="Times New Roman"/>
          <w:sz w:val="22"/>
          <w:szCs w:val="22"/>
        </w:rPr>
      </w:pPr>
      <w:r>
        <w:rPr>
          <w:rFonts w:cs="Verdana" w:ascii="Times New Roman" w:hAnsi="Times New Roman"/>
          <w:b/>
          <w:bCs/>
          <w:color w:val="000000"/>
          <w:sz w:val="22"/>
          <w:szCs w:val="22"/>
        </w:rPr>
        <w:t>Pakiet 4 pozycja 49</w:t>
      </w:r>
      <w:r>
        <w:rPr>
          <w:rFonts w:cs="Verdana" w:ascii="Times New Roman" w:hAnsi="Times New Roman"/>
          <w:color w:val="000000"/>
          <w:sz w:val="22"/>
          <w:szCs w:val="22"/>
        </w:rPr>
        <w:t xml:space="preserve"> – Czy Zamawiający ma na myśli Zestaw do podawania diet dojelitowych w opakowaniach miękkich typu worek metodą grawitacyjną o długości 190 cm, z komorą kroplową, zaciskiem rolkowym, zamykanym kranikiem do podawania leków oraz łącznikiem do zgłębników typu ENFit. Wolne od lateksu i DEHP, GraviSet EasyBag, ENFit?</w:t>
      </w:r>
    </w:p>
    <w:p>
      <w:pPr>
        <w:pStyle w:val="Default"/>
        <w:numPr>
          <w:ilvl w:val="0"/>
          <w:numId w:val="3"/>
        </w:numPr>
        <w:overflowPunct w:val="false"/>
        <w:spacing w:lineRule="auto" w:line="360" w:before="0" w:after="0"/>
        <w:ind w:right="0" w:hanging="0"/>
        <w:jc w:val="both"/>
        <w:textAlignment w:val="auto"/>
        <w:rPr>
          <w:rFonts w:ascii="Times New Roman" w:hAnsi="Times New Roman"/>
          <w:b/>
          <w:b/>
          <w:bCs/>
          <w:sz w:val="22"/>
          <w:szCs w:val="22"/>
          <w:u w:val="single"/>
        </w:rPr>
      </w:pPr>
      <w:r>
        <w:rPr>
          <w:rFonts w:eastAsia="Calibri" w:cs="Times New Roman" w:ascii="Times New Roman" w:hAnsi="Times New Roman"/>
          <w:b/>
          <w:bCs/>
          <w:i w:val="false"/>
          <w:iCs w:val="false"/>
          <w:strike w:val="false"/>
          <w:dstrike w:val="false"/>
          <w:color w:val="000000"/>
          <w:sz w:val="22"/>
          <w:szCs w:val="22"/>
          <w:highlight w:val="white"/>
          <w:u w:val="single"/>
          <w:lang w:val="pl-PL" w:eastAsia="pl-PL"/>
        </w:rPr>
        <w:t>Odpowiedź</w:t>
      </w:r>
    </w:p>
    <w:p>
      <w:pPr>
        <w:pStyle w:val="Default"/>
        <w:numPr>
          <w:ilvl w:val="0"/>
          <w:numId w:val="3"/>
        </w:numPr>
        <w:overflowPunct w:val="false"/>
        <w:spacing w:lineRule="auto" w:line="360" w:before="0" w:after="0"/>
        <w:ind w:right="0" w:hanging="0"/>
        <w:jc w:val="both"/>
        <w:textAlignment w:val="auto"/>
        <w:rPr>
          <w:rFonts w:ascii="Times New Roman" w:hAnsi="Times New Roman"/>
          <w:b w:val="false"/>
          <w:b w:val="false"/>
          <w:bCs w:val="false"/>
          <w:sz w:val="22"/>
          <w:szCs w:val="22"/>
          <w:u w:val="none"/>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Tak,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Zamawiający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ma to na myśli.</w:t>
      </w:r>
    </w:p>
    <w:p>
      <w:pPr>
        <w:pStyle w:val="Normal"/>
        <w:spacing w:lineRule="auto" w:line="360"/>
        <w:jc w:val="both"/>
        <w:rPr>
          <w:rFonts w:cs="Verdana"/>
          <w:color w:val="000000"/>
        </w:rPr>
      </w:pPr>
      <w:r>
        <w:rPr>
          <w:rFonts w:ascii="Times New Roman" w:hAnsi="Times New Roman"/>
          <w:sz w:val="22"/>
          <w:szCs w:val="22"/>
        </w:rPr>
      </w:r>
    </w:p>
    <w:p>
      <w:pPr>
        <w:pStyle w:val="Normal"/>
        <w:spacing w:lineRule="auto" w:line="360"/>
        <w:jc w:val="both"/>
        <w:rPr>
          <w:rFonts w:ascii="Times New Roman" w:hAnsi="Times New Roman"/>
          <w:sz w:val="22"/>
          <w:szCs w:val="22"/>
        </w:rPr>
      </w:pPr>
      <w:r>
        <w:rPr>
          <w:rFonts w:cs="Verdana" w:ascii="Times New Roman" w:hAnsi="Times New Roman"/>
          <w:b/>
          <w:bCs/>
          <w:color w:val="000000"/>
          <w:sz w:val="22"/>
          <w:szCs w:val="22"/>
        </w:rPr>
        <w:t>Pakiet 4 pozycja 83</w:t>
      </w:r>
      <w:r>
        <w:rPr>
          <w:rFonts w:cs="Verdana" w:ascii="Times New Roman" w:hAnsi="Times New Roman"/>
          <w:color w:val="000000"/>
          <w:sz w:val="22"/>
          <w:szCs w:val="22"/>
        </w:rPr>
        <w:t xml:space="preserve"> - Czy Zamawiający w pakiecie 4 pozycja 83 wyrazi zgodę na przeliczenie ilości Kabiven Peripheral 1440ml x 1 worek?</w:t>
      </w:r>
    </w:p>
    <w:p>
      <w:pPr>
        <w:pStyle w:val="Default"/>
        <w:numPr>
          <w:ilvl w:val="0"/>
          <w:numId w:val="3"/>
        </w:numPr>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numPr>
          <w:ilvl w:val="0"/>
          <w:numId w:val="3"/>
        </w:numPr>
        <w:spacing w:lineRule="auto" w:line="360"/>
        <w:jc w:val="both"/>
        <w:rPr>
          <w:rFonts w:ascii="Times New Roman" w:hAnsi="Times New Roman"/>
          <w:sz w:val="22"/>
          <w:szCs w:val="22"/>
        </w:rPr>
      </w:pPr>
      <w:r>
        <w:rPr>
          <w:rFonts w:cs="Verdana" w:ascii="Times New Roman" w:hAnsi="Times New Roman"/>
          <w:b w:val="false"/>
          <w:bCs w:val="false"/>
          <w:color w:val="000000"/>
          <w:sz w:val="22"/>
          <w:szCs w:val="22"/>
          <w:u w:val="none"/>
        </w:rPr>
        <w:t>Tak, Zamawiający wyraża zgodę.</w:t>
      </w:r>
    </w:p>
    <w:p>
      <w:pPr>
        <w:pStyle w:val="Normal"/>
        <w:spacing w:lineRule="auto" w:line="360"/>
        <w:jc w:val="both"/>
        <w:rPr>
          <w:rFonts w:cs="Verdana"/>
          <w:color w:val="000000"/>
        </w:rPr>
      </w:pPr>
      <w:r>
        <w:rPr>
          <w:rFonts w:ascii="Times New Roman" w:hAnsi="Times New Roman"/>
          <w:sz w:val="22"/>
          <w:szCs w:val="22"/>
        </w:rPr>
      </w:r>
    </w:p>
    <w:p>
      <w:pPr>
        <w:pStyle w:val="Normal"/>
        <w:spacing w:lineRule="auto" w:line="360"/>
        <w:jc w:val="both"/>
        <w:rPr>
          <w:rFonts w:ascii="Times New Roman" w:hAnsi="Times New Roman"/>
          <w:sz w:val="22"/>
          <w:szCs w:val="22"/>
        </w:rPr>
      </w:pPr>
      <w:r>
        <w:rPr>
          <w:rFonts w:cs="Verdana" w:ascii="Times New Roman" w:hAnsi="Times New Roman"/>
          <w:b/>
          <w:bCs/>
          <w:color w:val="000000"/>
          <w:sz w:val="22"/>
          <w:szCs w:val="22"/>
        </w:rPr>
        <w:t>Pakiet 4 pozycja 93</w:t>
      </w:r>
      <w:r>
        <w:rPr>
          <w:rFonts w:cs="Verdana" w:ascii="Times New Roman" w:hAnsi="Times New Roman"/>
          <w:color w:val="000000"/>
          <w:sz w:val="22"/>
          <w:szCs w:val="22"/>
        </w:rPr>
        <w:t xml:space="preserve"> - Czy Zamawiający w pakiecie 4 pozycja 93 wyrazi zgodę na przeliczenie ilości Omegaven 50 ml x 1 butelka?</w:t>
      </w:r>
    </w:p>
    <w:p>
      <w:pPr>
        <w:pStyle w:val="Default"/>
        <w:numPr>
          <w:ilvl w:val="0"/>
          <w:numId w:val="3"/>
        </w:numPr>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numPr>
          <w:ilvl w:val="0"/>
          <w:numId w:val="3"/>
        </w:numPr>
        <w:spacing w:lineRule="auto" w:line="360"/>
        <w:jc w:val="both"/>
        <w:rPr>
          <w:rFonts w:ascii="Times New Roman" w:hAnsi="Times New Roman"/>
          <w:sz w:val="22"/>
          <w:szCs w:val="22"/>
        </w:rPr>
      </w:pPr>
      <w:r>
        <w:rPr>
          <w:rFonts w:cs="Verdana" w:ascii="Times New Roman" w:hAnsi="Times New Roman"/>
          <w:b w:val="false"/>
          <w:bCs w:val="false"/>
          <w:color w:val="000000"/>
          <w:sz w:val="22"/>
          <w:szCs w:val="22"/>
          <w:u w:val="none"/>
        </w:rPr>
        <w:t>Tak, Zamawiający wyraża zgodę.</w:t>
      </w:r>
    </w:p>
    <w:p>
      <w:pPr>
        <w:pStyle w:val="Normal"/>
        <w:spacing w:lineRule="auto" w:line="360"/>
        <w:jc w:val="both"/>
        <w:rPr>
          <w:rFonts w:cs="Verdana"/>
          <w:color w:val="000000"/>
        </w:rPr>
      </w:pPr>
      <w:r>
        <w:rPr>
          <w:rFonts w:ascii="Times New Roman" w:hAnsi="Times New Roman"/>
          <w:sz w:val="22"/>
          <w:szCs w:val="22"/>
        </w:rPr>
      </w:r>
    </w:p>
    <w:p>
      <w:pPr>
        <w:pStyle w:val="Normal"/>
        <w:overflowPunct w:val="false"/>
        <w:spacing w:lineRule="auto" w:line="360" w:before="0" w:after="0"/>
        <w:ind w:right="0" w:hanging="0"/>
        <w:jc w:val="both"/>
        <w:textAlignment w:val="auto"/>
        <w:rPr>
          <w:rFonts w:ascii="Times New Roman" w:hAnsi="Times New Roman"/>
          <w:b w:val="false"/>
          <w:b w:val="false"/>
          <w:bCs w:val="false"/>
          <w:sz w:val="22"/>
          <w:szCs w:val="22"/>
          <w:u w:val="none"/>
        </w:rPr>
      </w:pPr>
      <w:r>
        <w:rPr>
          <w:rFonts w:eastAsia="Calibri" w:cs="Verdana" w:ascii="Times New Roman" w:hAnsi="Times New Roman"/>
          <w:b/>
          <w:bCs w:val="false"/>
          <w:i w:val="false"/>
          <w:iCs w:val="false"/>
          <w:strike w:val="false"/>
          <w:dstrike w:val="false"/>
          <w:color w:val="000000"/>
          <w:sz w:val="22"/>
          <w:szCs w:val="22"/>
          <w:highlight w:val="white"/>
          <w:u w:val="none"/>
          <w:lang w:val="pl-PL" w:eastAsia="pl-PL"/>
        </w:rPr>
        <w:t>Dotyczy § 4 ust. 4 umowy</w:t>
      </w: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 xml:space="preserve"> - Czy Zamawiający, w przypadku reklamacji jakościowej, która wymaga przeprowadzenia badań laboratoryjnych, wyrazi zgodę na wydłużenie terminu rozpatrzenia ww. reklamacji do 14 dni?</w:t>
      </w:r>
    </w:p>
    <w:p>
      <w:pPr>
        <w:pStyle w:val="Default"/>
        <w:numPr>
          <w:ilvl w:val="0"/>
          <w:numId w:val="3"/>
        </w:numPr>
        <w:spacing w:lineRule="auto" w:line="360"/>
        <w:rPr>
          <w:rFonts w:ascii="Times New Roman" w:hAnsi="Times New Roman"/>
          <w:b/>
          <w:b/>
          <w:bCs/>
          <w:sz w:val="22"/>
          <w:szCs w:val="22"/>
          <w:u w:val="single"/>
        </w:rPr>
      </w:pPr>
      <w:r>
        <w:rPr>
          <w:rFonts w:ascii="Times New Roman" w:hAnsi="Times New Roman"/>
          <w:b/>
          <w:bCs/>
          <w:sz w:val="22"/>
          <w:szCs w:val="22"/>
          <w:u w:val="single"/>
        </w:rPr>
        <w:t>Odpowiedź</w:t>
      </w:r>
    </w:p>
    <w:p>
      <w:pPr>
        <w:pStyle w:val="Default"/>
        <w:numPr>
          <w:ilvl w:val="0"/>
          <w:numId w:val="3"/>
        </w:numPr>
        <w:overflowPunct w:val="false"/>
        <w:spacing w:lineRule="auto" w:line="360" w:before="0" w:after="0"/>
        <w:ind w:right="0" w:hanging="0"/>
        <w:jc w:val="both"/>
        <w:textAlignment w:val="auto"/>
        <w:rPr>
          <w:rFonts w:ascii="Times New Roman" w:hAnsi="Times New Roman"/>
          <w:b w:val="false"/>
          <w:b w:val="false"/>
          <w:sz w:val="22"/>
          <w:szCs w:val="22"/>
          <w:u w:val="none"/>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Normal"/>
        <w:numPr>
          <w:ilvl w:val="0"/>
          <w:numId w:val="1"/>
        </w:numPr>
        <w:jc w:val="both"/>
        <w:rPr>
          <w:rFonts w:ascii="Times New Roman" w:hAnsi="Times New Roman" w:cs="Arial"/>
          <w:b/>
          <w:b/>
          <w:sz w:val="22"/>
          <w:szCs w:val="22"/>
          <w:u w:val="single"/>
          <w:lang w:val="pl-PL"/>
        </w:rPr>
      </w:pPr>
      <w:r>
        <w:rPr>
          <w:rFonts w:cs="Arial" w:ascii="Times New Roman" w:hAnsi="Times New Roman"/>
          <w:b/>
          <w:sz w:val="22"/>
          <w:szCs w:val="22"/>
          <w:u w:val="single"/>
          <w:lang w:val="pl-PL"/>
        </w:rPr>
      </w:r>
    </w:p>
    <w:p>
      <w:pPr>
        <w:pStyle w:val="Normal"/>
        <w:numPr>
          <w:ilvl w:val="0"/>
          <w:numId w:val="1"/>
        </w:numPr>
        <w:jc w:val="both"/>
        <w:rPr>
          <w:rFonts w:ascii="Times New Roman" w:hAnsi="Times New Roman" w:cs="Arial"/>
          <w:b/>
          <w:b/>
          <w:sz w:val="22"/>
          <w:szCs w:val="22"/>
          <w:u w:val="single"/>
          <w:lang w:val="pl-PL"/>
        </w:rPr>
      </w:pPr>
      <w:r>
        <w:rPr>
          <w:rFonts w:cs="Arial" w:ascii="Times New Roman" w:hAnsi="Times New Roman"/>
          <w:b/>
          <w:sz w:val="22"/>
          <w:szCs w:val="22"/>
          <w:u w:val="single"/>
          <w:lang w:val="pl-PL"/>
        </w:rPr>
      </w:r>
    </w:p>
    <w:p>
      <w:pPr>
        <w:pStyle w:val="Normal"/>
        <w:numPr>
          <w:ilvl w:val="0"/>
          <w:numId w:val="1"/>
        </w:numPr>
        <w:jc w:val="both"/>
        <w:rPr>
          <w:rFonts w:ascii="Times New Roman" w:hAnsi="Times New Roman" w:cs="Arial"/>
          <w:b/>
          <w:b/>
          <w:sz w:val="22"/>
          <w:szCs w:val="22"/>
          <w:u w:val="single"/>
          <w:lang w:val="pl-PL"/>
        </w:rPr>
      </w:pPr>
      <w:r>
        <w:rPr>
          <w:rFonts w:cs="Arial" w:ascii="Times New Roman" w:hAnsi="Times New Roman"/>
          <w:b/>
          <w:sz w:val="22"/>
          <w:szCs w:val="22"/>
          <w:u w:val="single"/>
          <w:lang w:val="pl-PL"/>
        </w:rPr>
      </w:r>
    </w:p>
    <w:p>
      <w:pPr>
        <w:pStyle w:val="Normal"/>
        <w:numPr>
          <w:ilvl w:val="0"/>
          <w:numId w:val="1"/>
        </w:numPr>
        <w:jc w:val="both"/>
        <w:rPr>
          <w:rFonts w:ascii="Times New Roman" w:hAnsi="Times New Roman" w:cs="Arial"/>
          <w:b/>
          <w:b/>
          <w:sz w:val="22"/>
          <w:szCs w:val="22"/>
          <w:u w:val="single"/>
          <w:lang w:val="pl-PL"/>
        </w:rPr>
      </w:pPr>
      <w:r>
        <w:rPr>
          <w:rFonts w:cs="Arial" w:ascii="Times New Roman" w:hAnsi="Times New Roman"/>
          <w:b/>
          <w:sz w:val="22"/>
          <w:szCs w:val="22"/>
          <w:u w:val="single"/>
          <w:lang w:val="pl-PL"/>
        </w:rPr>
        <w:t xml:space="preserve">1. </w:t>
      </w:r>
      <w:r>
        <w:rPr>
          <w:rFonts w:cs="Arial" w:ascii="Times New Roman" w:hAnsi="Times New Roman"/>
          <w:b/>
          <w:sz w:val="22"/>
          <w:szCs w:val="22"/>
          <w:u w:val="single"/>
          <w:lang w:val="pl-PL"/>
        </w:rPr>
        <w:t>Pytanie dot. Pakiet nr 3 poz. 19</w:t>
      </w:r>
    </w:p>
    <w:p>
      <w:pPr>
        <w:pStyle w:val="Normal"/>
        <w:numPr>
          <w:ilvl w:val="0"/>
          <w:numId w:val="1"/>
        </w:numPr>
        <w:jc w:val="both"/>
        <w:rPr>
          <w:rFonts w:ascii="Times New Roman" w:hAnsi="Times New Roman" w:cs="Arial"/>
          <w:b/>
          <w:b/>
          <w:sz w:val="22"/>
          <w:szCs w:val="22"/>
          <w:u w:val="single"/>
          <w:lang w:val="pl-PL"/>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Prosimy o potwierdzenie, czy w Pakiecie nr 3 w poz. 19, Zamawiąjący wymaga wyceny produktu w opakowaniu x 14 tabletek ? W formularzu nie wskazano wielkości opakowania.</w:t>
      </w:r>
    </w:p>
    <w:p>
      <w:pPr>
        <w:pStyle w:val="Default"/>
        <w:numPr>
          <w:ilvl w:val="0"/>
          <w:numId w:val="3"/>
        </w:numPr>
        <w:spacing w:lineRule="auto" w:line="360"/>
        <w:jc w:val="both"/>
        <w:rPr>
          <w:rFonts w:ascii="Times New Roman" w:hAnsi="Times New Roman" w:cs="Arial"/>
          <w:b/>
          <w:b/>
          <w:bCs/>
          <w:sz w:val="22"/>
          <w:szCs w:val="22"/>
          <w:u w:val="single"/>
          <w:lang w:val="pl-PL"/>
        </w:rPr>
      </w:pPr>
      <w:r>
        <w:rPr>
          <w:rFonts w:eastAsia="Calibri" w:cs="Verdana" w:ascii="Times New Roman" w:hAnsi="Times New Roman"/>
          <w:b/>
          <w:bCs/>
          <w:i w:val="false"/>
          <w:iCs w:val="false"/>
          <w:strike w:val="false"/>
          <w:dstrike w:val="false"/>
          <w:color w:val="000000"/>
          <w:sz w:val="22"/>
          <w:szCs w:val="22"/>
          <w:highlight w:val="white"/>
          <w:u w:val="single"/>
          <w:lang w:val="pl-PL" w:eastAsia="pl-PL"/>
        </w:rPr>
        <w:t>Odpowiedź</w:t>
      </w:r>
    </w:p>
    <w:p>
      <w:pPr>
        <w:pStyle w:val="Default"/>
        <w:numPr>
          <w:ilvl w:val="0"/>
          <w:numId w:val="3"/>
        </w:numPr>
        <w:spacing w:lineRule="auto" w:line="360"/>
        <w:jc w:val="both"/>
        <w:rPr>
          <w:rFonts w:ascii="Times New Roman" w:hAnsi="Times New Roman" w:cs="Arial"/>
          <w:b w:val="false"/>
          <w:b w:val="false"/>
          <w:bCs w:val="false"/>
          <w:sz w:val="22"/>
          <w:szCs w:val="22"/>
          <w:u w:val="none"/>
          <w:lang w:val="pl-PL"/>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Tak, Zamawiający potwierdza, że w Pakiecie nr 3 w poz. 19, Zamawiający wymaga wyceny produktu w opakowaniu x 14 tabletek.</w:t>
      </w:r>
    </w:p>
    <w:p>
      <w:pPr>
        <w:pStyle w:val="Default"/>
        <w:spacing w:lineRule="auto" w:line="360"/>
        <w:jc w:val="both"/>
        <w:rPr>
          <w:rFonts w:ascii="Times New Roman" w:hAnsi="Times New Roman" w:cs="Arial"/>
          <w:b/>
          <w:b/>
          <w:sz w:val="22"/>
          <w:szCs w:val="22"/>
          <w:u w:val="single"/>
          <w:lang w:val="pl-PL"/>
        </w:rPr>
      </w:pPr>
      <w:r>
        <w:rPr>
          <w:rFonts w:cs="Arial" w:ascii="Times New Roman" w:hAnsi="Times New Roman"/>
          <w:b/>
          <w:sz w:val="22"/>
          <w:szCs w:val="22"/>
          <w:u w:val="single"/>
          <w:lang w:val="pl-PL"/>
        </w:rPr>
      </w:r>
    </w:p>
    <w:p>
      <w:pPr>
        <w:pStyle w:val="Normal"/>
        <w:numPr>
          <w:ilvl w:val="0"/>
          <w:numId w:val="1"/>
        </w:numPr>
        <w:jc w:val="both"/>
        <w:rPr>
          <w:rFonts w:ascii="Times New Roman" w:hAnsi="Times New Roman" w:cs="Arial"/>
          <w:b/>
          <w:b/>
          <w:color w:val="000000"/>
          <w:sz w:val="22"/>
          <w:szCs w:val="22"/>
          <w:u w:val="single"/>
          <w:lang w:val="pl-PL"/>
        </w:rPr>
      </w:pPr>
      <w:r>
        <w:rPr>
          <w:rFonts w:cs="Arial" w:ascii="Times New Roman" w:hAnsi="Times New Roman"/>
          <w:b/>
          <w:color w:val="000000"/>
          <w:sz w:val="22"/>
          <w:szCs w:val="22"/>
          <w:u w:val="single"/>
          <w:lang w:val="pl-PL"/>
        </w:rPr>
        <w:t>Pytanie dot. Pakiet nr 3 poz. 22</w:t>
      </w:r>
    </w:p>
    <w:p>
      <w:pPr>
        <w:pStyle w:val="Normal"/>
        <w:ind w:left="0" w:right="0" w:firstLine="360"/>
        <w:jc w:val="both"/>
        <w:rPr>
          <w:rFonts w:ascii="Times New Roman" w:hAnsi="Times New Roman" w:cs="Arial"/>
          <w:color w:val="000000"/>
          <w:sz w:val="22"/>
          <w:szCs w:val="22"/>
          <w:lang w:val="pl-PL"/>
        </w:rPr>
      </w:pPr>
      <w:r>
        <w:rPr>
          <w:rFonts w:cs="Arial" w:ascii="Times New Roman" w:hAnsi="Times New Roman"/>
          <w:color w:val="000000"/>
          <w:sz w:val="22"/>
          <w:szCs w:val="22"/>
          <w:lang w:val="pl-PL"/>
        </w:rPr>
        <w:t>Prosimy o potwierdzenie, czy Zamawiający wymaga zaoferowania produktu w dawce 95mg ?</w:t>
      </w:r>
    </w:p>
    <w:p>
      <w:pPr>
        <w:pStyle w:val="Default"/>
        <w:numPr>
          <w:ilvl w:val="0"/>
          <w:numId w:val="3"/>
        </w:numPr>
        <w:spacing w:lineRule="auto" w:line="360"/>
        <w:jc w:val="both"/>
        <w:rPr>
          <w:rFonts w:ascii="Times New Roman" w:hAnsi="Times New Roman" w:cs="Arial"/>
          <w:b/>
          <w:b/>
          <w:bCs/>
          <w:color w:val="000000"/>
          <w:sz w:val="22"/>
          <w:szCs w:val="22"/>
          <w:u w:val="single"/>
          <w:lang w:val="pl-PL"/>
        </w:rPr>
      </w:pPr>
      <w:r>
        <w:rPr>
          <w:rFonts w:eastAsia="Calibri" w:cs="Verdana" w:ascii="Times New Roman" w:hAnsi="Times New Roman"/>
          <w:b/>
          <w:bCs/>
          <w:i w:val="false"/>
          <w:iCs w:val="false"/>
          <w:strike w:val="false"/>
          <w:dstrike w:val="false"/>
          <w:color w:val="000000"/>
          <w:sz w:val="22"/>
          <w:szCs w:val="22"/>
          <w:highlight w:val="white"/>
          <w:u w:val="single"/>
          <w:lang w:val="pl-PL" w:eastAsia="pl-PL"/>
        </w:rPr>
        <w:t>Odpowiedź</w:t>
      </w:r>
    </w:p>
    <w:p>
      <w:pPr>
        <w:pStyle w:val="Default"/>
        <w:numPr>
          <w:ilvl w:val="0"/>
          <w:numId w:val="3"/>
        </w:numPr>
        <w:spacing w:lineRule="auto" w:line="360"/>
        <w:ind w:left="0" w:right="0" w:firstLine="360"/>
        <w:jc w:val="both"/>
        <w:rPr>
          <w:rFonts w:ascii="Times New Roman" w:hAnsi="Times New Roman" w:cs="Arial"/>
          <w:b w:val="false"/>
          <w:b w:val="false"/>
          <w:bCs w:val="false"/>
          <w:color w:val="000000"/>
          <w:sz w:val="22"/>
          <w:szCs w:val="22"/>
          <w:u w:val="none"/>
          <w:lang w:val="pl-PL"/>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Tak, Zamawiający potwierdza.</w:t>
      </w:r>
    </w:p>
    <w:p>
      <w:pPr>
        <w:pStyle w:val="Normal"/>
        <w:ind w:left="0" w:right="0" w:firstLine="708"/>
        <w:jc w:val="both"/>
        <w:rPr>
          <w:rFonts w:ascii="Times New Roman" w:hAnsi="Times New Roman" w:cs="Arial"/>
          <w:color w:val="000000"/>
          <w:sz w:val="22"/>
          <w:szCs w:val="22"/>
          <w:lang w:val="pl-PL"/>
        </w:rPr>
      </w:pPr>
      <w:r>
        <w:rPr>
          <w:rFonts w:cs="Arial" w:ascii="Times New Roman" w:hAnsi="Times New Roman"/>
          <w:color w:val="000000"/>
          <w:sz w:val="22"/>
          <w:szCs w:val="22"/>
          <w:lang w:val="pl-PL"/>
        </w:rPr>
      </w:r>
    </w:p>
    <w:p>
      <w:pPr>
        <w:pStyle w:val="Normal"/>
        <w:numPr>
          <w:ilvl w:val="0"/>
          <w:numId w:val="1"/>
        </w:numPr>
        <w:jc w:val="both"/>
        <w:rPr>
          <w:rFonts w:ascii="Times New Roman" w:hAnsi="Times New Roman" w:cs="Arial"/>
          <w:b/>
          <w:b/>
          <w:color w:val="000000"/>
          <w:sz w:val="22"/>
          <w:szCs w:val="22"/>
          <w:u w:val="single"/>
          <w:lang w:val="pl-PL"/>
        </w:rPr>
      </w:pPr>
      <w:r>
        <w:rPr>
          <w:rFonts w:cs="Arial" w:ascii="Times New Roman" w:hAnsi="Times New Roman"/>
          <w:b/>
          <w:color w:val="000000"/>
          <w:sz w:val="22"/>
          <w:szCs w:val="22"/>
          <w:u w:val="single"/>
          <w:lang w:val="pl-PL"/>
        </w:rPr>
        <w:t>Pytanie dot. Pakiet nr 3 poz. 25</w:t>
      </w:r>
    </w:p>
    <w:p>
      <w:pPr>
        <w:pStyle w:val="Normal"/>
        <w:jc w:val="both"/>
        <w:rPr>
          <w:rFonts w:ascii="Times New Roman" w:hAnsi="Times New Roman" w:cs="Arial"/>
          <w:b/>
          <w:b/>
          <w:color w:val="000000"/>
          <w:sz w:val="22"/>
          <w:szCs w:val="22"/>
          <w:u w:val="single"/>
          <w:lang w:val="pl-PL"/>
        </w:rPr>
      </w:pPr>
      <w:r>
        <w:rPr>
          <w:rFonts w:cs="Arial" w:ascii="Times New Roman" w:hAnsi="Times New Roman"/>
          <w:b/>
          <w:color w:val="000000"/>
          <w:sz w:val="22"/>
          <w:szCs w:val="22"/>
          <w:u w:val="single"/>
          <w:lang w:val="pl-PL"/>
        </w:rPr>
      </w:r>
    </w:p>
    <w:p>
      <w:pPr>
        <w:pStyle w:val="Normal"/>
        <w:spacing w:lineRule="auto" w:line="360"/>
        <w:ind w:left="0" w:right="0" w:firstLine="708"/>
        <w:jc w:val="both"/>
        <w:rPr>
          <w:rFonts w:ascii="Times New Roman" w:hAnsi="Times New Roman" w:cs="Arial"/>
          <w:b w:val="false"/>
          <w:b w:val="false"/>
          <w:bCs w:val="false"/>
          <w:color w:val="000000"/>
          <w:sz w:val="22"/>
          <w:szCs w:val="22"/>
          <w:u w:val="none"/>
          <w:lang w:val="pl-PL"/>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Prosimy o odpowiedź, czy Zamawiający wyrazi zgodę na zaoferowanie produktu w postaci kapsułek twardych o zmodyfikowanym uwalnianiu ?</w:t>
      </w:r>
    </w:p>
    <w:p>
      <w:pPr>
        <w:pStyle w:val="Default"/>
        <w:numPr>
          <w:ilvl w:val="0"/>
          <w:numId w:val="3"/>
        </w:numPr>
        <w:spacing w:lineRule="auto" w:line="360"/>
        <w:jc w:val="both"/>
        <w:rPr>
          <w:rFonts w:ascii="Times New Roman" w:hAnsi="Times New Roman" w:cs="Arial"/>
          <w:b/>
          <w:b/>
          <w:bCs/>
          <w:color w:val="000000"/>
          <w:sz w:val="22"/>
          <w:szCs w:val="22"/>
          <w:u w:val="single"/>
          <w:lang w:val="pl-PL"/>
        </w:rPr>
      </w:pPr>
      <w:r>
        <w:rPr>
          <w:rFonts w:eastAsia="Calibri" w:cs="Verdana" w:ascii="Times New Roman" w:hAnsi="Times New Roman"/>
          <w:b/>
          <w:bCs/>
          <w:i w:val="false"/>
          <w:iCs w:val="false"/>
          <w:strike w:val="false"/>
          <w:dstrike w:val="false"/>
          <w:color w:val="000000"/>
          <w:sz w:val="22"/>
          <w:szCs w:val="22"/>
          <w:highlight w:val="white"/>
          <w:u w:val="single"/>
          <w:lang w:val="pl-PL" w:eastAsia="pl-PL"/>
        </w:rPr>
        <w:t>Odpowiedź</w:t>
      </w:r>
    </w:p>
    <w:p>
      <w:pPr>
        <w:pStyle w:val="Default"/>
        <w:numPr>
          <w:ilvl w:val="0"/>
          <w:numId w:val="3"/>
        </w:numPr>
        <w:spacing w:lineRule="auto" w:line="360"/>
        <w:ind w:left="0" w:right="0" w:firstLine="708"/>
        <w:jc w:val="both"/>
        <w:rPr>
          <w:rFonts w:ascii="Times New Roman" w:hAnsi="Times New Roman" w:cs="Arial"/>
          <w:b w:val="false"/>
          <w:b w:val="false"/>
          <w:bCs w:val="false"/>
          <w:color w:val="000000"/>
          <w:sz w:val="22"/>
          <w:szCs w:val="22"/>
          <w:u w:val="none"/>
          <w:lang w:val="pl-PL"/>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Tak, Zamawiający wyraża zgodę.</w:t>
      </w:r>
    </w:p>
    <w:p>
      <w:pPr>
        <w:pStyle w:val="Default"/>
        <w:spacing w:lineRule="auto" w:line="360"/>
        <w:ind w:left="0" w:right="0" w:firstLine="708"/>
        <w:jc w:val="both"/>
        <w:rPr>
          <w:rFonts w:eastAsia="Calibri" w:cs="Verdana"/>
          <w:i w:val="false"/>
          <w:i w:val="false"/>
          <w:iCs w:val="false"/>
          <w:strike w:val="false"/>
          <w:dstrike w:val="false"/>
          <w:color w:val="000000"/>
          <w:highlight w:val="white"/>
          <w:lang w:eastAsia="pl-PL"/>
        </w:rPr>
      </w:pPr>
      <w:r>
        <w:rPr>
          <w:rFonts w:cs="Arial" w:ascii="Times New Roman" w:hAnsi="Times New Roman"/>
          <w:b w:val="false"/>
          <w:bCs w:val="false"/>
          <w:sz w:val="22"/>
          <w:szCs w:val="22"/>
          <w:u w:val="none"/>
          <w:lang w:val="pl-PL"/>
        </w:rPr>
      </w:r>
    </w:p>
    <w:p>
      <w:pPr>
        <w:pStyle w:val="Normal"/>
        <w:spacing w:lineRule="auto" w:line="360"/>
        <w:ind w:left="0" w:right="0" w:firstLine="708"/>
        <w:jc w:val="both"/>
        <w:rPr>
          <w:rFonts w:ascii="Times New Roman" w:hAnsi="Times New Roman"/>
          <w:sz w:val="22"/>
          <w:szCs w:val="22"/>
        </w:rPr>
      </w:pPr>
      <w:r>
        <w:rPr>
          <w:rFonts w:eastAsia="Calibri" w:cs="Verdana" w:ascii="Times New Roman" w:hAnsi="Times New Roman"/>
          <w:b w:val="false"/>
          <w:bCs w:val="false"/>
          <w:i w:val="false"/>
          <w:iCs w:val="false"/>
          <w:strike w:val="false"/>
          <w:dstrike w:val="false"/>
          <w:color w:val="000000"/>
          <w:sz w:val="22"/>
          <w:szCs w:val="22"/>
          <w:highlight w:val="white"/>
          <w:u w:val="none"/>
          <w:lang w:val="pl-PL" w:eastAsia="pl-PL"/>
        </w:rPr>
        <w:t xml:space="preserve">W rozdziale V. SWZ, Informacje o przedmiotowych </w:t>
      </w:r>
      <w:r>
        <w:rPr>
          <w:rFonts w:cs="Arial" w:ascii="Times New Roman" w:hAnsi="Times New Roman"/>
          <w:b w:val="false"/>
          <w:bCs w:val="false"/>
          <w:sz w:val="22"/>
          <w:szCs w:val="22"/>
          <w:u w:val="none"/>
          <w:lang w:val="pl-PL"/>
        </w:rPr>
        <w:t xml:space="preserve">środkach dowodowych oraz w rozdziale XV </w:t>
      </w:r>
      <w:r>
        <w:rPr>
          <w:rFonts w:ascii="Times New Roman" w:hAnsi="Times New Roman"/>
          <w:sz w:val="22"/>
          <w:szCs w:val="22"/>
        </w:rPr>
        <w:t xml:space="preserve">SWZ pkt. 5 pkt 4, Zamawiający żąda od Wykonawcy złożenia wraz z ofertą następujących przedmiotowych środków dowodowych: - </w:t>
      </w:r>
      <w:r>
        <w:rPr>
          <w:rFonts w:ascii="Times New Roman" w:hAnsi="Times New Roman"/>
          <w:b/>
          <w:sz w:val="22"/>
          <w:szCs w:val="22"/>
        </w:rPr>
        <w:t xml:space="preserve">aktualne dokumenty </w:t>
      </w:r>
      <w:r>
        <w:rPr>
          <w:rFonts w:ascii="Times New Roman" w:hAnsi="Times New Roman"/>
          <w:sz w:val="22"/>
          <w:szCs w:val="22"/>
        </w:rPr>
        <w:t xml:space="preserve">(zgłoszenia, wpisy lub pozwolenia) zgodnie z ustawą z dnia 6 września 2001 r. Prawo farmaceutyczne (tekst jednolity: Dz. U. 2021 r. poz. 974 ze zm.). Tak skonstruowane wymogi dotyczące przedmiotowych środków dowodowych w postępowaniu obejmującym ok. 800 różnych produktów </w:t>
      </w:r>
      <w:r>
        <w:rPr>
          <w:rFonts w:ascii="Times New Roman" w:hAnsi="Times New Roman"/>
          <w:b/>
          <w:sz w:val="22"/>
          <w:szCs w:val="22"/>
        </w:rPr>
        <w:t>są niemożliwe do spełnienia za pośrednictwem używanej przez Zamawiającego platformy miniPortal</w:t>
      </w:r>
      <w:r>
        <w:rPr>
          <w:rFonts w:ascii="Times New Roman" w:hAnsi="Times New Roman"/>
          <w:sz w:val="22"/>
          <w:szCs w:val="22"/>
        </w:rPr>
        <w:t xml:space="preserve">. Wykonawcy w celu poprawnego złożenia, niepodlegającej odrzuceniu oferty, muszą zaszyfrować, a następnie umieścić na platformie plik obejmujący komplet wymaganych w postępowaniu dokumentów, w tym przypadku obejmujący również prawie 800 kilkustronicowych plików dopuszczających do obrotu wyceniane produkty. Podstawowe i nieusuwalne ograniczenie tej czynności polega na tym, że jak powszechnie wiadomo (str. 25 instrukcji użytkownika systemu miniPortal) </w:t>
      </w:r>
      <w:r>
        <w:rPr>
          <w:rFonts w:ascii="Times New Roman" w:hAnsi="Times New Roman"/>
          <w:b/>
          <w:sz w:val="22"/>
          <w:szCs w:val="22"/>
        </w:rPr>
        <w:t>maksymalny rozmiar zaszyfrowanego załącznika może mieć 150MB</w:t>
      </w:r>
      <w:r>
        <w:rPr>
          <w:rFonts w:ascii="Times New Roman" w:hAnsi="Times New Roman"/>
          <w:sz w:val="22"/>
          <w:szCs w:val="22"/>
        </w:rPr>
        <w:t xml:space="preserve">, tymczasem już niewiele ponad połowa wymaganych dokumentów tworzy większy rozmiar pliku. Rozmowa telefoniczna z przedstawicielem działu obsługi klienta portalu również potwierdziła, że </w:t>
      </w:r>
      <w:r>
        <w:rPr>
          <w:rFonts w:ascii="Times New Roman" w:hAnsi="Times New Roman"/>
          <w:b/>
          <w:sz w:val="22"/>
          <w:szCs w:val="22"/>
        </w:rPr>
        <w:t>nie ma technicznej możliwości umieszczenia na platformie pliku o rozmiarze przekraczającym 150MB</w:t>
      </w:r>
      <w:r>
        <w:rPr>
          <w:rFonts w:ascii="Times New Roman" w:hAnsi="Times New Roman"/>
          <w:sz w:val="22"/>
          <w:szCs w:val="22"/>
        </w:rPr>
        <w:t>.</w:t>
      </w:r>
    </w:p>
    <w:p>
      <w:pPr>
        <w:pStyle w:val="Normal"/>
        <w:jc w:val="left"/>
        <w:rPr>
          <w:rFonts w:ascii="Times New Roman" w:hAnsi="Times New Roman"/>
          <w:sz w:val="22"/>
          <w:szCs w:val="22"/>
        </w:rPr>
      </w:pPr>
      <w:r>
        <w:rPr>
          <w:rFonts w:ascii="Times New Roman" w:hAnsi="Times New Roman"/>
          <w:sz w:val="22"/>
          <w:szCs w:val="22"/>
        </w:rPr>
        <w:t>Jednocześnie, zauważyć można, że w punkcie 2 rozdziału V. SWZ Zamawiający podkreśla, że</w:t>
      </w:r>
    </w:p>
    <w:p>
      <w:pPr>
        <w:pStyle w:val="Normal"/>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jeżeli Wykonawca nie złożył przedmiotowych środków dowodowych lub złożone przedmiotowe</w:t>
      </w:r>
    </w:p>
    <w:p>
      <w:pPr>
        <w:pStyle w:val="Normal"/>
        <w:jc w:val="left"/>
        <w:rPr>
          <w:rFonts w:ascii="Times New Roman" w:hAnsi="Times New Roman"/>
          <w:sz w:val="22"/>
          <w:szCs w:val="22"/>
        </w:rPr>
      </w:pPr>
      <w:r>
        <w:rPr>
          <w:rFonts w:ascii="Times New Roman" w:hAnsi="Times New Roman"/>
          <w:sz w:val="22"/>
          <w:szCs w:val="22"/>
        </w:rPr>
        <w:t>środki dowodowe są niekompletne, Zamawiający wzywa do ich złożenia lub uzupełnienia w</w:t>
      </w:r>
    </w:p>
    <w:p>
      <w:pPr>
        <w:pStyle w:val="Normal"/>
        <w:jc w:val="left"/>
        <w:rPr>
          <w:rFonts w:ascii="Times New Roman" w:hAnsi="Times New Roman"/>
          <w:sz w:val="22"/>
          <w:szCs w:val="22"/>
        </w:rPr>
      </w:pPr>
      <w:r>
        <w:rPr>
          <w:rFonts w:ascii="Times New Roman" w:hAnsi="Times New Roman"/>
          <w:sz w:val="22"/>
          <w:szCs w:val="22"/>
        </w:rPr>
        <w:t>wyznaczonym terminie (art. 107 ust. 2 Pzp).”. Sposób uwidocznienia niniejszej informacji wyraźnie sugeruje, że Zamawiający z góry zakłada wysokie prawdopodobieństwo wystąpienia takiego scenariusza. Skoro zatem, Zamawiający już na etapie konstruowania SWZ zdaje sobie sprawę z przeszkód jakie Wykonawcy napotkają podczas próby ich spełnienia, to dlaczego nie skorzysta z innych, środków potwierdzających, że oferowane dostawy spełniają określone przez</w:t>
      </w:r>
    </w:p>
    <w:p>
      <w:pPr>
        <w:pStyle w:val="Normal"/>
        <w:jc w:val="left"/>
        <w:rPr>
          <w:rFonts w:ascii="Times New Roman" w:hAnsi="Times New Roman"/>
          <w:sz w:val="22"/>
          <w:szCs w:val="22"/>
        </w:rPr>
      </w:pPr>
      <w:r>
        <w:rPr>
          <w:rFonts w:ascii="Times New Roman" w:hAnsi="Times New Roman"/>
          <w:sz w:val="22"/>
          <w:szCs w:val="22"/>
        </w:rPr>
        <w:t>zamawiającego wymagania oraz cechy na co wprost zezwala art. 106 ust. 1 PZP? Powszechną</w:t>
      </w:r>
    </w:p>
    <w:p>
      <w:pPr>
        <w:pStyle w:val="Normal"/>
        <w:jc w:val="left"/>
        <w:rPr>
          <w:rFonts w:ascii="Times New Roman" w:hAnsi="Times New Roman"/>
          <w:sz w:val="22"/>
          <w:szCs w:val="22"/>
        </w:rPr>
      </w:pPr>
      <w:r>
        <w:rPr>
          <w:rFonts w:ascii="Times New Roman" w:hAnsi="Times New Roman"/>
          <w:sz w:val="22"/>
          <w:szCs w:val="22"/>
        </w:rPr>
        <w:t>praktyką w postępowaniach dotyczących dostaw leków jest żądanie na etapie składania ofert od</w:t>
      </w:r>
    </w:p>
    <w:p>
      <w:pPr>
        <w:pStyle w:val="Normal"/>
        <w:jc w:val="left"/>
        <w:rPr>
          <w:rFonts w:ascii="Times New Roman" w:hAnsi="Times New Roman"/>
          <w:sz w:val="22"/>
          <w:szCs w:val="22"/>
        </w:rPr>
      </w:pPr>
      <w:r>
        <w:rPr>
          <w:rFonts w:ascii="Times New Roman" w:hAnsi="Times New Roman"/>
          <w:sz w:val="22"/>
          <w:szCs w:val="22"/>
        </w:rPr>
        <w:t>Wykonawców oświadczeń własnych w powyższym zakresie, a następnie korzystając z uprawnień wskazanych w 107 ust. 4 PZP ewentualne wezwanie do złożenia wyjaśnień dotyczących konkretnych preparatów, które budzą wątpliwości Zamawiającego.</w:t>
      </w:r>
    </w:p>
    <w:p>
      <w:pPr>
        <w:pStyle w:val="Normal"/>
        <w:jc w:val="left"/>
        <w:rPr>
          <w:rFonts w:ascii="Times New Roman" w:hAnsi="Times New Roman"/>
          <w:sz w:val="22"/>
          <w:szCs w:val="22"/>
        </w:rPr>
      </w:pPr>
      <w:r>
        <w:rPr>
          <w:rFonts w:ascii="Times New Roman" w:hAnsi="Times New Roman"/>
          <w:sz w:val="22"/>
          <w:szCs w:val="22"/>
        </w:rPr>
        <w:t>Instytucja wezwania do złożenia brakujących przedmiotowych środków dowodowych lub ich uzupełnienia ze swej istoty przysłużyć się ma Wykonawcy umożliwiając mu poprawę ewentualnych niedociągnięć, a tym samym uniknięcie odrzucenia. Jako, że z założenia jest wezwaniem jednokrotnym, Zamawiający nie może czynić z niej instrumentu z góry wpisanego w standardową czynność złożenia oferty, a tym samym pozbawić Wykonawcę jedynej szansy na poprawę niezamierzonych uchybień, już po jej otwarciu i zweryfikowaniu.</w:t>
      </w:r>
    </w:p>
    <w:p>
      <w:pPr>
        <w:pStyle w:val="Normal"/>
        <w:jc w:val="left"/>
        <w:rPr>
          <w:rFonts w:ascii="Times New Roman" w:hAnsi="Times New Roman"/>
          <w:sz w:val="22"/>
          <w:szCs w:val="22"/>
        </w:rPr>
      </w:pPr>
      <w:r>
        <w:rPr>
          <w:rFonts w:ascii="Times New Roman" w:hAnsi="Times New Roman"/>
          <w:sz w:val="22"/>
          <w:szCs w:val="22"/>
        </w:rPr>
        <w:t xml:space="preserve">Dodatkowym czynnikiem wymagającym podkreślenia, jest fakt, że omawiane postępowanie zostało zabezpieczone wadium, co dodatkowo rodzi po stronie Wykonawcy wymierne konsekwencje, w postaci ryzyka jego utraty w przypadku odrzucenia oferty. Może zatem dojść do takiej sytuacji, że Wykonawcy zmuszeni będą do podjęcia decyzji, czy złożą ofertę na ilość części zdeterminowaną przez ograniczony rozmiar plików możliwych do zamieszczenia na platformie miniPortal, bez względu na posiadane zasoby, czy też złożą ofertę zgodną z posiadanym potencjałem, ale nie dołączą do niej wszystkich wymaganych przedmiotowych środków dowodowych, licząc na wezwanie Zamawiającego do ich uzupełnienia, a tym samym wykorzystując jedyną możliwość skorygowania ewentualnych braków. W takich okolicznościach, bardzo możliwe jest, że z uwagi na </w:t>
      </w:r>
      <w:r>
        <w:rPr>
          <w:rFonts w:ascii="Times New Roman" w:hAnsi="Times New Roman"/>
          <w:b/>
          <w:sz w:val="22"/>
          <w:szCs w:val="22"/>
        </w:rPr>
        <w:t xml:space="preserve">brak technicznej, a zatem realnej możliwości złożenia kompletnej oferty </w:t>
      </w:r>
      <w:r>
        <w:rPr>
          <w:rFonts w:ascii="Times New Roman" w:hAnsi="Times New Roman"/>
          <w:sz w:val="22"/>
          <w:szCs w:val="22"/>
        </w:rPr>
        <w:t>część Wykonawców nie zdecyduje się podjąć wspomnianego ryzyka i przedłoży oferty na mniejszą część, co w sposób istotny ograniczy konkurencyjność niniejszego postępowania, gdyż tylko większe podmioty, z bogatszym zapleczem ekonomicznym będą mogły pozwolić sobie na wkalkulowanie ewentualnego niebezpieczeństwa utraty wadium w prowadzoną działalność. Jednocześnie, większą szansę na złożenie poprawnej oferty przyznaje się Wykonawcom, planującym odpowiedzieć na mniejsze zapotrzebowanie Zamawiającego, aniżeli tym, którzy chcieliby złożyć ofertę na większy zakres. Różnicowanie takie jest niedopuszczalne, co ustawodawca uregulował w szczególności w art. 106 ust. 3 PZP wskazując, że „</w:t>
      </w:r>
      <w:r>
        <w:rPr>
          <w:rFonts w:ascii="Times New Roman" w:hAnsi="Times New Roman"/>
          <w:b/>
          <w:sz w:val="22"/>
          <w:szCs w:val="22"/>
        </w:rPr>
        <w:t>żądanie przedmiotowych środków dowodowych nie może ograniczać uczciwej konkurencji i równego traktowania wykonawców. Zamawiający akceptuje równoważne przedmiotowe środki dowodowe</w:t>
      </w:r>
      <w:r>
        <w:rPr>
          <w:rFonts w:ascii="Times New Roman" w:hAnsi="Times New Roman"/>
          <w:sz w:val="22"/>
          <w:szCs w:val="22"/>
        </w:rPr>
        <w:t xml:space="preserve">, jeśli potwierdzają, że oferowane dostawy, usługi lub roboty budowlane spełniają określone przez zamawiającego wymagania, cechy lub kryteria.”, Zamawiający ma zatem ustawową swobodę wyboru rodzaju przedmiotowych środków dowodowych, o ile tylko potwierdzą one, że oferowane dostawy spełniają określone przez zamawiającego wymagania, a z drugiej strony kształtuje „uprawnienie dla Wykonawcy przedłożenia innych środków dowodowych niż wskazane przez Zamawiającego, pod warunkiem że potwierdzają one, że oferowane dostawy spełniają określone przez zamawiającego wymagania” (tak w Komentarzu do Nowego Prawa Zamówień Publicznych wydanym, przez Urząd Zamówień Publicznych). Biorąc pod uwagę całokształt wyżej przytoczonej argumentacji, oraz z uwagi na obiektywny brak technicznej możliwości spełnienia niżej opisanego warunku, </w:t>
      </w:r>
      <w:r>
        <w:rPr>
          <w:rFonts w:ascii="Times New Roman" w:hAnsi="Times New Roman"/>
          <w:b/>
          <w:sz w:val="22"/>
          <w:szCs w:val="22"/>
        </w:rPr>
        <w:t xml:space="preserve">zwracamy się do Zamawiającego o odstąpienie od określonego w rozdziale V. SWZ wymogu dołączenia do oferty przedmiotowych środków dowodowych w postaci dokumentów takich jak aktualne zgłoszenia, wpisy lub pozwolenia, oraz zastąpienie ich oświadczeniem własnym Wykonawcy potwierdzającym, że oferowane dostawy spełniają określone przez zamawiającego wymagania, cechy lub kryteria, a w przypadku dalszych wątpliwości wykorzystanie trybu określonego w art. 107 ust. 4 PZP. </w:t>
      </w:r>
      <w:r>
        <w:rPr>
          <w:rFonts w:ascii="Times New Roman" w:hAnsi="Times New Roman"/>
          <w:sz w:val="22"/>
          <w:szCs w:val="22"/>
        </w:rPr>
        <w:t xml:space="preserve">W razie braku zgody Zamawiającego na powyższe, prosimy o precyzyjne wyjaśnienie sposobu złożenia kompletnej, niepodlegającej odrzuceniu oferty przy jednoczesnym zapewnieniu ku temu </w:t>
      </w:r>
      <w:r>
        <w:rPr>
          <w:rFonts w:cs="Arial" w:ascii="Times New Roman" w:hAnsi="Times New Roman"/>
          <w:b w:val="false"/>
          <w:bCs w:val="false"/>
          <w:sz w:val="22"/>
          <w:szCs w:val="22"/>
          <w:u w:val="none"/>
          <w:lang w:val="pl-PL"/>
        </w:rPr>
        <w:t>adekwatnych możliwości technicznych.</w:t>
      </w:r>
    </w:p>
    <w:p>
      <w:pPr>
        <w:pStyle w:val="Normal"/>
        <w:jc w:val="left"/>
        <w:rPr>
          <w:rFonts w:eastAsia="Calibri" w:cs="Arial"/>
          <w:b w:val="false"/>
          <w:b w:val="false"/>
          <w:bCs w:val="false"/>
          <w:i w:val="false"/>
          <w:i w:val="false"/>
          <w:iCs w:val="false"/>
          <w:color w:val="000000"/>
          <w:u w:val="none"/>
          <w:lang w:val="pl-PL"/>
        </w:rPr>
      </w:pPr>
      <w:r>
        <w:rPr>
          <w:rFonts w:ascii="Times New Roman" w:hAnsi="Times New Roman"/>
          <w:sz w:val="22"/>
          <w:szCs w:val="22"/>
        </w:rPr>
      </w:r>
    </w:p>
    <w:p>
      <w:pPr>
        <w:pStyle w:val="Normal"/>
        <w:jc w:val="left"/>
        <w:rPr>
          <w:rFonts w:ascii="Times New Roman" w:hAnsi="Times New Roman"/>
          <w:sz w:val="22"/>
          <w:szCs w:val="22"/>
        </w:rPr>
      </w:pPr>
      <w:r>
        <w:rPr>
          <w:rFonts w:eastAsia="Calibri" w:cs="Times New Roman" w:ascii="Times New Roman" w:hAnsi="Times New Roman"/>
          <w:b/>
          <w:bCs/>
          <w:i w:val="false"/>
          <w:iCs w:val="false"/>
          <w:color w:val="000000"/>
          <w:sz w:val="22"/>
          <w:szCs w:val="22"/>
          <w:u w:val="single"/>
          <w:lang w:val="pl-PL"/>
        </w:rPr>
        <w:t>Odpowiedź</w:t>
      </w:r>
    </w:p>
    <w:p>
      <w:pPr>
        <w:pStyle w:val="Normal"/>
        <w:jc w:val="left"/>
        <w:rPr>
          <w:rFonts w:ascii="Times New Roman" w:hAnsi="Times New Roman"/>
          <w:b w:val="false"/>
          <w:b w:val="false"/>
          <w:bCs w:val="false"/>
          <w:sz w:val="22"/>
          <w:szCs w:val="22"/>
          <w:u w:val="none"/>
        </w:rPr>
      </w:pPr>
      <w:bookmarkStart w:id="4" w:name="__DdeLink__2124_4023388872"/>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bookmarkEnd w:id="4"/>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Ofertę należy składać zgodnie z konkretnymi zapisami zawartymi w SWZ.</w:t>
      </w:r>
    </w:p>
    <w:p>
      <w:pPr>
        <w:pStyle w:val="Normal"/>
        <w:overflowPunct w:val="false"/>
        <w:spacing w:lineRule="auto" w:line="360" w:before="0" w:after="0"/>
        <w:ind w:right="0" w:hanging="0"/>
        <w:jc w:val="both"/>
        <w:textAlignment w:val="auto"/>
        <w:rPr>
          <w:rFonts w:ascii="Times New Roman" w:hAnsi="Times New Roman"/>
          <w:b w:val="false"/>
          <w:b w:val="false"/>
          <w:bCs w:val="false"/>
          <w:sz w:val="22"/>
          <w:szCs w:val="22"/>
          <w:u w:val="none"/>
        </w:rPr>
      </w:pPr>
      <w:r>
        <w:rPr>
          <w:rFonts w:ascii="Times New Roman" w:hAnsi="Times New Roman"/>
          <w:b w:val="false"/>
          <w:bCs w:val="false"/>
          <w:sz w:val="22"/>
          <w:szCs w:val="22"/>
          <w:u w:val="none"/>
        </w:rPr>
      </w:r>
    </w:p>
    <w:p>
      <w:pPr>
        <w:pStyle w:val="Normal"/>
        <w:spacing w:before="0" w:after="160"/>
        <w:jc w:val="right"/>
        <w:rPr>
          <w:rFonts w:ascii="Times New Roman" w:hAnsi="Times New Roman" w:eastAsia="Times New Roman" w:cs="Times New Roman"/>
          <w:b/>
          <w:b/>
          <w:bCs/>
          <w:color w:val="000000"/>
          <w:sz w:val="22"/>
          <w:szCs w:val="22"/>
          <w:u w:val="single"/>
        </w:rPr>
      </w:pPr>
      <w:r>
        <w:rPr>
          <w:rFonts w:eastAsia="Times New Roman" w:cs="Times New Roman" w:ascii="Times New Roman" w:hAnsi="Times New Roman"/>
          <w:b/>
          <w:bCs/>
          <w:color w:val="000000"/>
          <w:sz w:val="22"/>
          <w:szCs w:val="22"/>
          <w:u w:val="single"/>
        </w:rPr>
      </w:r>
    </w:p>
    <w:p>
      <w:pPr>
        <w:pStyle w:val="Normal"/>
        <w:spacing w:before="0" w:after="160"/>
        <w:jc w:val="right"/>
        <w:rPr>
          <w:rFonts w:ascii="Times New Roman" w:hAnsi="Times New Roman"/>
          <w:sz w:val="22"/>
          <w:szCs w:val="22"/>
        </w:rPr>
      </w:pPr>
      <w:r>
        <w:rPr>
          <w:rFonts w:eastAsia="Times New Roman" w:cs="Times New Roman" w:ascii="Times New Roman" w:hAnsi="Times New Roman"/>
          <w:color w:val="000000"/>
          <w:sz w:val="22"/>
          <w:szCs w:val="22"/>
        </w:rPr>
        <w:t>Dyrektor ZOZ w Pińczowie</w:t>
        <w:br/>
      </w:r>
      <w:r>
        <w:rPr>
          <w:rFonts w:eastAsia="Times New Roman" w:cs="Times New Roman" w:ascii="Times New Roman" w:hAnsi="Times New Roman"/>
          <w:b w:val="false"/>
          <w:bCs w:val="false"/>
          <w:color w:val="000000"/>
          <w:sz w:val="22"/>
          <w:szCs w:val="22"/>
        </w:rPr>
        <w:t>Krzysztof Słonina</w:t>
      </w:r>
    </w:p>
    <w:sectPr>
      <w:type w:val="nextPage"/>
      <w:pgSz w:w="12240" w:h="15840"/>
      <w:pgMar w:left="1417" w:right="1417"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339"/>
    <w:pPr>
      <w:widowControl/>
      <w:overflowPunct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qFormat/>
    <w:rsid w:val="00111126"/>
    <w:pPr>
      <w:keepNext w:val="true"/>
      <w:keepLines/>
      <w:widowControl/>
      <w:overflowPunct w:val="true"/>
      <w:bidi w:val="0"/>
      <w:spacing w:lineRule="auto" w:line="264" w:before="0" w:after="213"/>
      <w:ind w:left="370" w:hanging="10"/>
      <w:jc w:val="left"/>
      <w:outlineLvl w:val="0"/>
    </w:pPr>
    <w:rPr>
      <w:rFonts w:ascii="Calibri" w:hAnsi="Calibri" w:eastAsia="Calibri" w:cs="Calibri"/>
      <w:color w:val="000000"/>
      <w:kern w:val="0"/>
      <w:sz w:val="20"/>
      <w:szCs w:val="22"/>
      <w:u w:val="single" w:color="000000"/>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3edb"/>
    <w:rPr/>
  </w:style>
  <w:style w:type="character" w:styleId="StopkaZnak" w:customStyle="1">
    <w:name w:val="Stopka Znak"/>
    <w:basedOn w:val="DefaultParagraphFont"/>
    <w:link w:val="Stopka"/>
    <w:uiPriority w:val="99"/>
    <w:qFormat/>
    <w:rsid w:val="00ea3edb"/>
    <w:rPr/>
  </w:style>
  <w:style w:type="character" w:styleId="Czeinternetowe">
    <w:name w:val="Łącze internetowe"/>
    <w:basedOn w:val="DefaultParagraphFont"/>
    <w:uiPriority w:val="99"/>
    <w:unhideWhenUsed/>
    <w:rsid w:val="002401f4"/>
    <w:rPr>
      <w:color w:val="0563C1"/>
      <w:u w:val="single"/>
    </w:rPr>
  </w:style>
  <w:style w:type="character" w:styleId="TekstprzypisukocowegoZnak" w:customStyle="1">
    <w:name w:val="Tekst przypisu końcowego Znak"/>
    <w:basedOn w:val="DefaultParagraphFont"/>
    <w:link w:val="Tekstprzypisukocowego"/>
    <w:uiPriority w:val="99"/>
    <w:semiHidden/>
    <w:qFormat/>
    <w:rsid w:val="00e56972"/>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56972"/>
    <w:rPr>
      <w:vertAlign w:val="superscript"/>
    </w:rPr>
  </w:style>
  <w:style w:type="character" w:styleId="Annotationreference">
    <w:name w:val="annotation reference"/>
    <w:basedOn w:val="DefaultParagraphFont"/>
    <w:uiPriority w:val="99"/>
    <w:unhideWhenUsed/>
    <w:qFormat/>
    <w:rsid w:val="009c6bca"/>
    <w:rPr>
      <w:sz w:val="16"/>
      <w:szCs w:val="16"/>
    </w:rPr>
  </w:style>
  <w:style w:type="character" w:styleId="TekstkomentarzaZnak" w:customStyle="1">
    <w:name w:val="Tekst komentarza Znak"/>
    <w:basedOn w:val="DefaultParagraphFont"/>
    <w:link w:val="Tekstkomentarza"/>
    <w:uiPriority w:val="99"/>
    <w:qFormat/>
    <w:rsid w:val="009c6bca"/>
    <w:rPr>
      <w:sz w:val="20"/>
      <w:szCs w:val="20"/>
    </w:rPr>
  </w:style>
  <w:style w:type="character" w:styleId="TematkomentarzaZnak" w:customStyle="1">
    <w:name w:val="Temat komentarza Znak"/>
    <w:basedOn w:val="TekstkomentarzaZnak"/>
    <w:link w:val="Tematkomentarza"/>
    <w:uiPriority w:val="99"/>
    <w:semiHidden/>
    <w:qFormat/>
    <w:rsid w:val="009c6bca"/>
    <w:rPr>
      <w:b/>
      <w:bCs/>
      <w:sz w:val="20"/>
      <w:szCs w:val="20"/>
    </w:rPr>
  </w:style>
  <w:style w:type="character" w:styleId="TekstdymkaZnak" w:customStyle="1">
    <w:name w:val="Tekst dymka Znak"/>
    <w:basedOn w:val="DefaultParagraphFont"/>
    <w:link w:val="Tekstdymka"/>
    <w:uiPriority w:val="99"/>
    <w:semiHidden/>
    <w:qFormat/>
    <w:rsid w:val="009c6bca"/>
    <w:rPr>
      <w:rFonts w:ascii="Segoe UI" w:hAnsi="Segoe UI" w:cs="Segoe UI"/>
      <w:sz w:val="18"/>
      <w:szCs w:val="18"/>
    </w:rPr>
  </w:style>
  <w:style w:type="character" w:styleId="AkapitzlistZnak" w:customStyle="1">
    <w:name w:val="Akapit z listą Znak"/>
    <w:link w:val="Akapitzlist"/>
    <w:uiPriority w:val="99"/>
    <w:qFormat/>
    <w:locked/>
    <w:rsid w:val="00b024f7"/>
    <w:rPr>
      <w:lang w:val="pl-PL"/>
    </w:rPr>
  </w:style>
  <w:style w:type="character" w:styleId="HTMLwstpniesformatowanyZnak" w:customStyle="1">
    <w:name w:val="HTML - wstępnie sformatowany Znak"/>
    <w:basedOn w:val="DefaultParagraphFont"/>
    <w:link w:val="HTML-wstpniesformatowany"/>
    <w:uiPriority w:val="99"/>
    <w:semiHidden/>
    <w:qFormat/>
    <w:rsid w:val="00dc0c69"/>
    <w:rPr>
      <w:rFonts w:ascii="Courier New" w:hAnsi="Courier New" w:eastAsia="Times New Roman" w:cs="Courier New"/>
      <w:sz w:val="20"/>
      <w:szCs w:val="20"/>
      <w:lang w:val="pl-PL" w:eastAsia="pl-PL"/>
    </w:rPr>
  </w:style>
  <w:style w:type="character" w:styleId="Nierozpoznanawzmianka1" w:customStyle="1">
    <w:name w:val="Nierozpoznana wzmianka1"/>
    <w:basedOn w:val="DefaultParagraphFont"/>
    <w:uiPriority w:val="99"/>
    <w:semiHidden/>
    <w:unhideWhenUsed/>
    <w:qFormat/>
    <w:rsid w:val="00c60c61"/>
    <w:rPr>
      <w:color w:val="605E5C"/>
      <w:shd w:fill="E1DFDD" w:val="clear"/>
    </w:rPr>
  </w:style>
  <w:style w:type="character" w:styleId="FollowedHyperlink">
    <w:name w:val="FollowedHyperlink"/>
    <w:basedOn w:val="DefaultParagraphFont"/>
    <w:uiPriority w:val="99"/>
    <w:semiHidden/>
    <w:unhideWhenUsed/>
    <w:qFormat/>
    <w:rsid w:val="003577ba"/>
    <w:rPr>
      <w:color w:val="954F72" w:themeColor="followedHyperlink"/>
      <w:u w:val="single"/>
    </w:rPr>
  </w:style>
  <w:style w:type="character" w:styleId="Nierozpoznanawzmianka2" w:customStyle="1">
    <w:name w:val="Nierozpoznana wzmianka2"/>
    <w:basedOn w:val="DefaultParagraphFont"/>
    <w:uiPriority w:val="99"/>
    <w:semiHidden/>
    <w:unhideWhenUsed/>
    <w:qFormat/>
    <w:rsid w:val="00604bec"/>
    <w:rPr>
      <w:color w:val="605E5C"/>
      <w:shd w:fill="E1DFDD" w:val="clear"/>
    </w:rPr>
  </w:style>
  <w:style w:type="character" w:styleId="Tekstpodstawowy2Znak" w:customStyle="1">
    <w:name w:val="Tekst podstawowy 2 Znak"/>
    <w:basedOn w:val="DefaultParagraphFont"/>
    <w:link w:val="Tekstpodstawowy2"/>
    <w:uiPriority w:val="99"/>
    <w:qFormat/>
    <w:rsid w:val="00580047"/>
    <w:rPr>
      <w:rFonts w:ascii="Times New Roman" w:hAnsi="Times New Roman" w:cs="Times New Roman"/>
      <w:sz w:val="24"/>
      <w:szCs w:val="24"/>
      <w:lang w:val="pl-PL" w:eastAsia="pl-PL"/>
    </w:rPr>
  </w:style>
  <w:style w:type="character" w:styleId="Wyrnienie">
    <w:name w:val="Wyróżnienie"/>
    <w:basedOn w:val="DefaultParagraphFont"/>
    <w:uiPriority w:val="20"/>
    <w:qFormat/>
    <w:rsid w:val="00186be1"/>
    <w:rPr>
      <w:i/>
      <w:iCs/>
    </w:rPr>
  </w:style>
  <w:style w:type="character" w:styleId="Nagwek1Znak" w:customStyle="1">
    <w:name w:val="Nagłówek 1 Znak"/>
    <w:basedOn w:val="DefaultParagraphFont"/>
    <w:link w:val="Nagwek1"/>
    <w:uiPriority w:val="9"/>
    <w:qFormat/>
    <w:rsid w:val="00111126"/>
    <w:rPr>
      <w:rFonts w:ascii="Calibri" w:hAnsi="Calibri" w:eastAsia="Calibri" w:cs="Calibri"/>
      <w:color w:val="000000"/>
      <w:sz w:val="20"/>
      <w:u w:val="single" w:color="000000"/>
      <w:lang w:val="pl-PL" w:eastAsia="pl-PL"/>
    </w:rPr>
  </w:style>
  <w:style w:type="character" w:styleId="Strong">
    <w:name w:val="Strong"/>
    <w:basedOn w:val="DefaultParagraphFont"/>
    <w:uiPriority w:val="22"/>
    <w:qFormat/>
    <w:rsid w:val="00d75f69"/>
    <w:rPr>
      <w:b/>
      <w:bCs/>
    </w:rPr>
  </w:style>
  <w:style w:type="character" w:styleId="WW8Num3z0">
    <w:name w:val="WW8Num3z0"/>
    <w:qFormat/>
    <w:rPr>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ascii="Times New Roman" w:hAnsi="Times New Roman"/>
      <w:sz w:val="22"/>
      <w:szCs w:val="22"/>
    </w:rPr>
  </w:style>
  <w:style w:type="character" w:styleId="WW8Num2z0">
    <w:name w:val="WW8Num2z0"/>
    <w:qFormat/>
    <w:rPr>
      <w:rFonts w:ascii="Arial" w:hAnsi="Arial" w:cs="Arial"/>
      <w:sz w:val="20"/>
      <w:szCs w:val="20"/>
    </w:rPr>
  </w:style>
  <w:style w:type="character" w:styleId="ListLabel2">
    <w:name w:val="ListLabel 2"/>
    <w:qFormat/>
    <w:rPr>
      <w:rFonts w:ascii="Times New Roman" w:hAnsi="Times New Roman" w:cs="Arial"/>
      <w:sz w:val="22"/>
      <w:szCs w:val="20"/>
    </w:rPr>
  </w:style>
  <w:style w:type="character" w:styleId="Mocnowyrniony">
    <w:name w:val="Mocno wyróżniony"/>
    <w:qFormat/>
    <w:rPr>
      <w:b/>
      <w:bCs/>
    </w:rPr>
  </w:style>
  <w:style w:type="character" w:styleId="WW8Num4z0">
    <w:name w:val="WW8Num4z0"/>
    <w:qFormat/>
    <w:rPr/>
  </w:style>
  <w:style w:type="character" w:styleId="WW8Num1z0">
    <w:name w:val="WW8Num1z0"/>
    <w:qFormat/>
    <w:rPr/>
  </w:style>
  <w:style w:type="character" w:styleId="Appleconvertedspace">
    <w:name w:val="apple-converted-space"/>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ea3edb"/>
    <w:pPr>
      <w:tabs>
        <w:tab w:val="clear" w:pos="720"/>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ea3edb"/>
    <w:pPr>
      <w:tabs>
        <w:tab w:val="clear" w:pos="720"/>
        <w:tab w:val="center" w:pos="4703" w:leader="none"/>
        <w:tab w:val="right" w:pos="9406" w:leader="none"/>
      </w:tabs>
      <w:spacing w:lineRule="auto" w:line="240" w:before="0" w:after="0"/>
    </w:pPr>
    <w:rPr/>
  </w:style>
  <w:style w:type="paragraph" w:styleId="Przypiskocowy">
    <w:name w:val="Endnote Text"/>
    <w:basedOn w:val="Normal"/>
    <w:link w:val="TekstprzypisukocowegoZnak"/>
    <w:uiPriority w:val="99"/>
    <w:semiHidden/>
    <w:unhideWhenUsed/>
    <w:rsid w:val="00e56972"/>
    <w:pPr>
      <w:spacing w:lineRule="auto" w:line="240" w:before="0" w:after="0"/>
    </w:pPr>
    <w:rPr>
      <w:sz w:val="20"/>
      <w:szCs w:val="20"/>
    </w:rPr>
  </w:style>
  <w:style w:type="paragraph" w:styleId="Annotationtext">
    <w:name w:val="annotation text"/>
    <w:basedOn w:val="Normal"/>
    <w:link w:val="TekstkomentarzaZnak"/>
    <w:uiPriority w:val="99"/>
    <w:unhideWhenUsed/>
    <w:qFormat/>
    <w:rsid w:val="009c6bc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c6bca"/>
    <w:pPr/>
    <w:rPr>
      <w:b/>
      <w:bCs/>
    </w:rPr>
  </w:style>
  <w:style w:type="paragraph" w:styleId="BalloonText">
    <w:name w:val="Balloon Text"/>
    <w:basedOn w:val="Normal"/>
    <w:link w:val="TekstdymkaZnak"/>
    <w:uiPriority w:val="99"/>
    <w:semiHidden/>
    <w:unhideWhenUsed/>
    <w:qFormat/>
    <w:rsid w:val="009c6bca"/>
    <w:pPr>
      <w:spacing w:lineRule="auto" w:line="240" w:before="0" w:after="0"/>
    </w:pPr>
    <w:rPr>
      <w:rFonts w:ascii="Segoe UI" w:hAnsi="Segoe UI" w:cs="Segoe UI"/>
      <w:sz w:val="18"/>
      <w:szCs w:val="18"/>
    </w:rPr>
  </w:style>
  <w:style w:type="paragraph" w:styleId="ListParagraph">
    <w:name w:val="List Paragraph"/>
    <w:basedOn w:val="Normal"/>
    <w:link w:val="AkapitzlistZnak"/>
    <w:qFormat/>
    <w:rsid w:val="00bc738b"/>
    <w:pPr>
      <w:spacing w:lineRule="auto" w:line="259" w:before="0" w:after="160"/>
      <w:ind w:left="720" w:hanging="0"/>
      <w:contextualSpacing/>
    </w:pPr>
    <w:rPr/>
  </w:style>
  <w:style w:type="paragraph" w:styleId="Revision">
    <w:name w:val="Revision"/>
    <w:uiPriority w:val="99"/>
    <w:semiHidden/>
    <w:qFormat/>
    <w:rsid w:val="00fd5c3a"/>
    <w:pPr>
      <w:widowControl/>
      <w:overflowPunct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304642"/>
    <w:pPr>
      <w:widowControl/>
      <w:suppressAutoHyphens w:val="true"/>
      <w:overflowPunct w:val="tru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HTMLPreformatted">
    <w:name w:val="HTML Preformatted"/>
    <w:basedOn w:val="Normal"/>
    <w:link w:val="HTML-wstpniesformatowanyZnak"/>
    <w:uiPriority w:val="99"/>
    <w:semiHidden/>
    <w:unhideWhenUsed/>
    <w:qFormat/>
    <w:rsid w:val="00dc0c6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Default" w:customStyle="1">
    <w:name w:val="Default"/>
    <w:qFormat/>
    <w:rsid w:val="0022631a"/>
    <w:pPr>
      <w:widowControl/>
      <w:overflowPunct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Web">
    <w:name w:val="Normal (Web)"/>
    <w:basedOn w:val="Normal"/>
    <w:uiPriority w:val="99"/>
    <w:unhideWhenUsed/>
    <w:qFormat/>
    <w:rsid w:val="00580047"/>
    <w:pPr>
      <w:spacing w:lineRule="auto" w:line="240" w:beforeAutospacing="1" w:afterAutospacing="1"/>
    </w:pPr>
    <w:rPr>
      <w:rFonts w:ascii="Calibri" w:hAnsi="Calibri" w:cs="Calibri"/>
      <w:lang w:eastAsia="pl-PL"/>
    </w:rPr>
  </w:style>
  <w:style w:type="paragraph" w:styleId="BodyText2">
    <w:name w:val="Body Text 2"/>
    <w:basedOn w:val="Normal"/>
    <w:link w:val="Tekstpodstawowy2Znak"/>
    <w:uiPriority w:val="99"/>
    <w:unhideWhenUsed/>
    <w:qFormat/>
    <w:rsid w:val="00580047"/>
    <w:pPr>
      <w:spacing w:lineRule="auto" w:line="240" w:before="0" w:after="0"/>
    </w:pPr>
    <w:rPr>
      <w:rFonts w:ascii="Times New Roman" w:hAnsi="Times New Roman" w:cs="Times New Roman"/>
      <w:sz w:val="24"/>
      <w:szCs w:val="24"/>
      <w:lang w:eastAsia="pl-PL"/>
    </w:rPr>
  </w:style>
  <w:style w:type="paragraph" w:styleId="Akapitzlist">
    <w:name w:val="Akapit z listą"/>
    <w:basedOn w:val="Normal"/>
    <w:qFormat/>
    <w:pPr>
      <w:suppressAutoHyphens w:val="false"/>
      <w:ind w:left="720" w:right="0" w:hanging="0"/>
    </w:pPr>
    <w:rPr>
      <w:rFonts w:ascii="Calibri" w:hAnsi="Calibri" w:eastAsia="Calibri" w:cs="Times New Roman"/>
      <w:sz w:val="22"/>
      <w:szCs w:val="22"/>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Bezodstpw">
    <w:name w:val="Bez odstępów"/>
    <w:qFormat/>
    <w:pPr>
      <w:widowControl/>
      <w:suppressAutoHyphens w:val="true"/>
      <w:bidi w:val="0"/>
      <w:jc w:val="left"/>
    </w:pPr>
    <w:rPr>
      <w:rFonts w:ascii="Calibri" w:hAnsi="Calibri" w:eastAsia="Calibri" w:cs="Times New Roman"/>
      <w:color w:val="auto"/>
      <w:kern w:val="2"/>
      <w:sz w:val="22"/>
      <w:szCs w:val="22"/>
      <w:lang w:val="pl-PL" w:eastAsia="zh-CN" w:bidi="ar-SA"/>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numbering" w:styleId="WW8Num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16E0-79C8-43E8-A32D-963E7D96F0AA}">
  <ds:schemaRefs>
    <ds:schemaRef ds:uri="http://schemas.microsoft.com/sharepoint/v3/contenttype/forms"/>
  </ds:schemaRefs>
</ds:datastoreItem>
</file>

<file path=customXml/itemProps2.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D65B0-EEBD-446E-A667-8D888F5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Application>LibreOffice/6.2.5.2$Windows_x86 LibreOffice_project/1ec314fa52f458adc18c4f025c545a4e8b22c159</Application>
  <Pages>8</Pages>
  <Words>2421</Words>
  <Characters>15582</Characters>
  <CharactersWithSpaces>17905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2021-11-08T15:47:00Z</dcterms:created>
  <dc:creator>Katarzyna Rogala</dc:creator>
  <dc:description/>
  <dc:language>pl-PL</dc:language>
  <cp:lastModifiedBy/>
  <cp:lastPrinted>2022-11-08T09:00:28Z</cp:lastPrinted>
  <dcterms:modified xsi:type="dcterms:W3CDTF">2022-11-08T09:00:39Z</dcterms:modified>
  <cp:revision>16</cp:revision>
  <dc:subject/>
  <dc:title>PEŁNOMOCNICTWO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